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60586" w14:textId="77777777" w:rsidR="009C16F9" w:rsidRPr="009C16F9" w:rsidRDefault="00C5432A" w:rsidP="009C16F9">
      <w:pPr>
        <w:spacing w:line="276" w:lineRule="auto"/>
        <w:jc w:val="center"/>
        <w:rPr>
          <w:rFonts w:cstheme="minorHAnsi"/>
          <w:b/>
          <w:sz w:val="24"/>
          <w:szCs w:val="24"/>
          <w:lang w:val="el-GR"/>
        </w:rPr>
      </w:pPr>
      <w:bookmarkStart w:id="0" w:name="_GoBack"/>
      <w:bookmarkEnd w:id="0"/>
      <w:r w:rsidRPr="00835CD5">
        <w:rPr>
          <w:rFonts w:ascii="Arial" w:eastAsia="Times New Roman" w:hAnsi="Arial" w:cs="Arial"/>
          <w:noProof/>
          <w:lang w:val="el-GR" w:eastAsia="el-GR"/>
        </w:rPr>
        <w:drawing>
          <wp:inline distT="0" distB="0" distL="0" distR="0" wp14:anchorId="310F037A" wp14:editId="2805271A">
            <wp:extent cx="1971675" cy="895350"/>
            <wp:effectExtent l="0" t="0" r="0" b="0"/>
            <wp:docPr id="1" name="Εικόνα 1" descr="logo_syr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yriz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09EEDE9E" w14:textId="77777777" w:rsidR="009C16F9" w:rsidRDefault="009C16F9" w:rsidP="009C16F9">
      <w:pPr>
        <w:spacing w:line="276" w:lineRule="auto"/>
        <w:jc w:val="center"/>
        <w:rPr>
          <w:rFonts w:cstheme="minorHAnsi"/>
          <w:b/>
          <w:sz w:val="24"/>
          <w:szCs w:val="24"/>
          <w:u w:val="single"/>
          <w:lang w:val="el-GR"/>
        </w:rPr>
      </w:pPr>
    </w:p>
    <w:p w14:paraId="2BDF0D52" w14:textId="77777777" w:rsidR="00C5432A" w:rsidRPr="00835CD5" w:rsidRDefault="00C5432A" w:rsidP="00C5432A">
      <w:pPr>
        <w:pStyle w:val="NoSpacing"/>
        <w:spacing w:line="276" w:lineRule="auto"/>
        <w:jc w:val="right"/>
        <w:rPr>
          <w:rFonts w:cs="Calibri"/>
          <w:b/>
          <w:bCs/>
        </w:rPr>
      </w:pPr>
      <w:r w:rsidRPr="00835CD5">
        <w:rPr>
          <w:rFonts w:cs="Calibri"/>
          <w:b/>
          <w:bCs/>
        </w:rPr>
        <w:t xml:space="preserve">Αθήνα, </w:t>
      </w:r>
      <w:r w:rsidR="007B5DE6">
        <w:rPr>
          <w:rFonts w:cs="Calibri"/>
          <w:b/>
          <w:bCs/>
        </w:rPr>
        <w:t>1</w:t>
      </w:r>
      <w:r w:rsidR="007B5DE6" w:rsidRPr="00D03A7E">
        <w:rPr>
          <w:rFonts w:cs="Calibri"/>
          <w:b/>
          <w:bCs/>
        </w:rPr>
        <w:t>7</w:t>
      </w:r>
      <w:r w:rsidRPr="00835CD5">
        <w:rPr>
          <w:rFonts w:cs="Calibri"/>
          <w:b/>
          <w:bCs/>
        </w:rPr>
        <w:t xml:space="preserve"> Οκτωβρίου 2019</w:t>
      </w:r>
    </w:p>
    <w:p w14:paraId="270EC5ED" w14:textId="77777777" w:rsidR="009C16F9" w:rsidRDefault="009C16F9" w:rsidP="009C16F9">
      <w:pPr>
        <w:spacing w:line="276" w:lineRule="auto"/>
        <w:jc w:val="center"/>
        <w:rPr>
          <w:rFonts w:cstheme="minorHAnsi"/>
          <w:b/>
          <w:sz w:val="24"/>
          <w:szCs w:val="24"/>
          <w:u w:val="single"/>
          <w:lang w:val="el-GR"/>
        </w:rPr>
      </w:pPr>
    </w:p>
    <w:p w14:paraId="7CCBE558" w14:textId="77777777" w:rsidR="009C16F9" w:rsidRPr="009C16F9" w:rsidRDefault="009C16F9" w:rsidP="009C16F9">
      <w:pPr>
        <w:spacing w:line="276" w:lineRule="auto"/>
        <w:jc w:val="center"/>
        <w:rPr>
          <w:rFonts w:cstheme="minorHAnsi"/>
          <w:b/>
          <w:sz w:val="24"/>
          <w:szCs w:val="24"/>
          <w:u w:val="single"/>
          <w:lang w:val="el-GR"/>
        </w:rPr>
      </w:pPr>
      <w:r w:rsidRPr="009C16F9">
        <w:rPr>
          <w:rFonts w:cstheme="minorHAnsi"/>
          <w:b/>
          <w:sz w:val="24"/>
          <w:szCs w:val="24"/>
          <w:u w:val="single"/>
          <w:lang w:val="el-GR"/>
        </w:rPr>
        <w:t>ΕΡΩΤΗΣΗ</w:t>
      </w:r>
    </w:p>
    <w:p w14:paraId="352A4F6A" w14:textId="77777777" w:rsidR="009C16F9" w:rsidRDefault="009C16F9" w:rsidP="00C5432A">
      <w:pPr>
        <w:spacing w:line="276" w:lineRule="auto"/>
        <w:jc w:val="center"/>
        <w:rPr>
          <w:rFonts w:cstheme="minorHAnsi"/>
          <w:b/>
          <w:sz w:val="24"/>
          <w:szCs w:val="24"/>
          <w:lang w:val="el-GR"/>
        </w:rPr>
      </w:pPr>
      <w:r>
        <w:rPr>
          <w:rFonts w:cstheme="minorHAnsi"/>
          <w:b/>
          <w:sz w:val="24"/>
          <w:szCs w:val="24"/>
          <w:lang w:val="el-GR"/>
        </w:rPr>
        <w:t>Προς τον  κ. Υπουργό Εσωτερικών</w:t>
      </w:r>
    </w:p>
    <w:p w14:paraId="33356575" w14:textId="77777777" w:rsidR="009C16F9" w:rsidRDefault="009C16F9" w:rsidP="00C5432A">
      <w:pPr>
        <w:spacing w:line="276" w:lineRule="auto"/>
        <w:jc w:val="center"/>
        <w:rPr>
          <w:rFonts w:cstheme="minorHAnsi"/>
          <w:b/>
          <w:sz w:val="24"/>
          <w:szCs w:val="24"/>
          <w:lang w:val="el-GR"/>
        </w:rPr>
      </w:pPr>
      <w:r w:rsidRPr="009C16F9">
        <w:rPr>
          <w:rFonts w:cstheme="minorHAnsi"/>
          <w:b/>
          <w:sz w:val="24"/>
          <w:szCs w:val="24"/>
          <w:lang w:val="el-GR"/>
        </w:rPr>
        <w:t>ΘΕΜΑ: Πρόγραμμα «</w:t>
      </w:r>
      <w:proofErr w:type="spellStart"/>
      <w:r w:rsidRPr="009C16F9">
        <w:rPr>
          <w:rFonts w:cstheme="minorHAnsi"/>
          <w:b/>
          <w:sz w:val="24"/>
          <w:szCs w:val="24"/>
          <w:lang w:val="el-GR"/>
        </w:rPr>
        <w:t>Φιλ</w:t>
      </w:r>
      <w:r w:rsidR="005349C2">
        <w:rPr>
          <w:rFonts w:cstheme="minorHAnsi"/>
          <w:b/>
          <w:sz w:val="24"/>
          <w:szCs w:val="24"/>
          <w:lang w:val="el-GR"/>
        </w:rPr>
        <w:t>όΔ</w:t>
      </w:r>
      <w:r w:rsidRPr="009C16F9">
        <w:rPr>
          <w:rFonts w:cstheme="minorHAnsi"/>
          <w:b/>
          <w:sz w:val="24"/>
          <w:szCs w:val="24"/>
          <w:lang w:val="el-GR"/>
        </w:rPr>
        <w:t>ημος</w:t>
      </w:r>
      <w:proofErr w:type="spellEnd"/>
      <w:r w:rsidRPr="009C16F9">
        <w:rPr>
          <w:rFonts w:cstheme="minorHAnsi"/>
          <w:b/>
          <w:sz w:val="24"/>
          <w:szCs w:val="24"/>
          <w:lang w:val="el-GR"/>
        </w:rPr>
        <w:t>»</w:t>
      </w:r>
    </w:p>
    <w:p w14:paraId="22820C14" w14:textId="77777777" w:rsidR="006C52D0" w:rsidRDefault="006C52D0" w:rsidP="00C5432A">
      <w:pPr>
        <w:spacing w:line="276" w:lineRule="auto"/>
        <w:jc w:val="center"/>
        <w:rPr>
          <w:rFonts w:cstheme="minorHAnsi"/>
          <w:b/>
          <w:sz w:val="24"/>
          <w:szCs w:val="24"/>
          <w:lang w:val="el-GR"/>
        </w:rPr>
      </w:pPr>
    </w:p>
    <w:p w14:paraId="7216152F" w14:textId="77777777" w:rsidR="00C5432A" w:rsidRPr="009C16F9" w:rsidRDefault="00C5432A" w:rsidP="00C5432A">
      <w:pPr>
        <w:spacing w:line="276" w:lineRule="auto"/>
        <w:jc w:val="center"/>
        <w:rPr>
          <w:rFonts w:cstheme="minorHAnsi"/>
          <w:b/>
          <w:sz w:val="24"/>
          <w:szCs w:val="24"/>
          <w:lang w:val="el-GR"/>
        </w:rPr>
      </w:pPr>
    </w:p>
    <w:p w14:paraId="54379593" w14:textId="77777777" w:rsidR="00A73C8C" w:rsidRPr="005349C2" w:rsidRDefault="009C16F9" w:rsidP="009C16F9">
      <w:pPr>
        <w:spacing w:line="276" w:lineRule="auto"/>
        <w:jc w:val="both"/>
        <w:rPr>
          <w:rFonts w:cstheme="minorHAnsi"/>
          <w:sz w:val="24"/>
          <w:szCs w:val="24"/>
          <w:lang w:val="el-GR"/>
        </w:rPr>
      </w:pPr>
      <w:r w:rsidRPr="009C16F9">
        <w:rPr>
          <w:rFonts w:cstheme="minorHAnsi"/>
          <w:sz w:val="24"/>
          <w:szCs w:val="24"/>
          <w:lang w:val="el-GR"/>
        </w:rPr>
        <w:t xml:space="preserve">Οι ανάγκες της </w:t>
      </w:r>
      <w:r w:rsidR="00874EC0">
        <w:rPr>
          <w:rFonts w:cstheme="minorHAnsi"/>
          <w:sz w:val="24"/>
          <w:szCs w:val="24"/>
          <w:lang w:val="el-GR"/>
        </w:rPr>
        <w:t xml:space="preserve">Τοπικής </w:t>
      </w:r>
      <w:r w:rsidRPr="009C16F9">
        <w:rPr>
          <w:rFonts w:cstheme="minorHAnsi"/>
          <w:sz w:val="24"/>
          <w:szCs w:val="24"/>
          <w:lang w:val="el-GR"/>
        </w:rPr>
        <w:t>Αυτοδιοίκησης</w:t>
      </w:r>
      <w:r w:rsidR="00A73C8C">
        <w:rPr>
          <w:rFonts w:cstheme="minorHAnsi"/>
          <w:sz w:val="24"/>
          <w:szCs w:val="24"/>
          <w:lang w:val="el-GR"/>
        </w:rPr>
        <w:t>,</w:t>
      </w:r>
      <w:r w:rsidRPr="009C16F9">
        <w:rPr>
          <w:rFonts w:cstheme="minorHAnsi"/>
          <w:sz w:val="24"/>
          <w:szCs w:val="24"/>
          <w:lang w:val="el-GR"/>
        </w:rPr>
        <w:t xml:space="preserve"> </w:t>
      </w:r>
      <w:r w:rsidR="00A73C8C">
        <w:rPr>
          <w:rFonts w:cstheme="minorHAnsi"/>
          <w:sz w:val="24"/>
          <w:szCs w:val="24"/>
          <w:lang w:val="el-GR"/>
        </w:rPr>
        <w:t xml:space="preserve">προκειμένου να υλοποιηθούν απαραίτητα </w:t>
      </w:r>
      <w:r w:rsidRPr="009C16F9">
        <w:rPr>
          <w:rFonts w:cstheme="minorHAnsi"/>
          <w:sz w:val="24"/>
          <w:szCs w:val="24"/>
          <w:lang w:val="el-GR"/>
        </w:rPr>
        <w:t>έργα και παρεμβάσεις</w:t>
      </w:r>
      <w:r w:rsidR="00A73C8C">
        <w:rPr>
          <w:rFonts w:cstheme="minorHAnsi"/>
          <w:sz w:val="24"/>
          <w:szCs w:val="24"/>
          <w:lang w:val="el-GR"/>
        </w:rPr>
        <w:t>,</w:t>
      </w:r>
      <w:r w:rsidRPr="009C16F9">
        <w:rPr>
          <w:rFonts w:cstheme="minorHAnsi"/>
          <w:sz w:val="24"/>
          <w:szCs w:val="24"/>
          <w:lang w:val="el-GR"/>
        </w:rPr>
        <w:t xml:space="preserve"> ήταν και παραμένουν ιδιαίτερα αυξημένες. </w:t>
      </w:r>
      <w:r w:rsidR="00A73C8C">
        <w:rPr>
          <w:rFonts w:cstheme="minorHAnsi"/>
          <w:sz w:val="24"/>
          <w:szCs w:val="24"/>
          <w:lang w:val="el-GR"/>
        </w:rPr>
        <w:t>Αναγνωρίζοντας τις ανάγκες αυτές, η κυβέρνηση ΣΥΡΙΖΑ προχώρησε στη δημιουργία νέων και καινοτόμων χρηματοδοτικών εργαλε</w:t>
      </w:r>
      <w:r w:rsidR="005349C2">
        <w:rPr>
          <w:rFonts w:cstheme="minorHAnsi"/>
          <w:sz w:val="24"/>
          <w:szCs w:val="24"/>
          <w:lang w:val="el-GR"/>
        </w:rPr>
        <w:t xml:space="preserve">ίων (επιπρόσθετα </w:t>
      </w:r>
      <w:r w:rsidR="00C5432A">
        <w:rPr>
          <w:rFonts w:cstheme="minorHAnsi"/>
          <w:sz w:val="24"/>
          <w:szCs w:val="24"/>
          <w:lang w:val="el-GR"/>
        </w:rPr>
        <w:t>του</w:t>
      </w:r>
      <w:r w:rsidR="005349C2">
        <w:rPr>
          <w:rFonts w:cstheme="minorHAnsi"/>
          <w:sz w:val="24"/>
          <w:szCs w:val="24"/>
          <w:lang w:val="el-GR"/>
        </w:rPr>
        <w:t xml:space="preserve"> ΕΣΠΑ). </w:t>
      </w:r>
      <w:r w:rsidR="005349C2" w:rsidRPr="005349C2">
        <w:rPr>
          <w:rFonts w:cstheme="minorHAnsi"/>
          <w:bCs/>
          <w:sz w:val="24"/>
          <w:szCs w:val="24"/>
          <w:lang w:val="el-GR"/>
        </w:rPr>
        <w:t xml:space="preserve">Ο </w:t>
      </w:r>
      <w:r w:rsidR="005349C2">
        <w:rPr>
          <w:rFonts w:cstheme="minorHAnsi"/>
          <w:bCs/>
          <w:sz w:val="24"/>
          <w:szCs w:val="24"/>
          <w:lang w:val="el-GR"/>
        </w:rPr>
        <w:t>«</w:t>
      </w:r>
      <w:proofErr w:type="spellStart"/>
      <w:r w:rsidR="005349C2" w:rsidRPr="005349C2">
        <w:rPr>
          <w:rFonts w:cstheme="minorHAnsi"/>
          <w:bCs/>
          <w:sz w:val="24"/>
          <w:szCs w:val="24"/>
          <w:lang w:val="el-GR"/>
        </w:rPr>
        <w:t>ΦιλόΔημος</w:t>
      </w:r>
      <w:proofErr w:type="spellEnd"/>
      <w:r w:rsidR="005349C2">
        <w:rPr>
          <w:rFonts w:cstheme="minorHAnsi"/>
          <w:bCs/>
          <w:sz w:val="24"/>
          <w:szCs w:val="24"/>
          <w:lang w:val="el-GR"/>
        </w:rPr>
        <w:t xml:space="preserve">» αποτελεί </w:t>
      </w:r>
      <w:r w:rsidR="005349C2" w:rsidRPr="005349C2">
        <w:rPr>
          <w:rFonts w:cstheme="minorHAnsi"/>
          <w:bCs/>
          <w:sz w:val="24"/>
          <w:szCs w:val="24"/>
          <w:lang w:val="el-GR"/>
        </w:rPr>
        <w:t>προϊόν της συνεργασίας των Υπουργείων Εσωτερικών και Οικονομίας &amp; Ανάπτυξης</w:t>
      </w:r>
      <w:r w:rsidR="005349C2">
        <w:rPr>
          <w:rFonts w:cstheme="minorHAnsi"/>
          <w:bCs/>
          <w:sz w:val="24"/>
          <w:szCs w:val="24"/>
          <w:lang w:val="el-GR"/>
        </w:rPr>
        <w:t xml:space="preserve"> και είναι πρόγραμμα </w:t>
      </w:r>
      <w:proofErr w:type="spellStart"/>
      <w:r w:rsidR="005349C2" w:rsidRPr="005349C2">
        <w:rPr>
          <w:rFonts w:cstheme="minorHAnsi"/>
          <w:bCs/>
          <w:sz w:val="24"/>
          <w:szCs w:val="24"/>
          <w:lang w:val="el-GR"/>
        </w:rPr>
        <w:t>στοχευμένο</w:t>
      </w:r>
      <w:proofErr w:type="spellEnd"/>
      <w:r w:rsidR="005349C2" w:rsidRPr="005349C2">
        <w:rPr>
          <w:rFonts w:cstheme="minorHAnsi"/>
          <w:bCs/>
          <w:sz w:val="24"/>
          <w:szCs w:val="24"/>
          <w:lang w:val="el-GR"/>
        </w:rPr>
        <w:t xml:space="preserve"> στις ανάγκες της Αυτοδιοίκησης. Ένα Πρόγραμμα το οποίο, από τον Φεβρουάριο του 2018 που ενεργοποιήθηκε, ξεπέρασε κάθε αισιόδοξη προσδοκία</w:t>
      </w:r>
      <w:r w:rsidR="005349C2" w:rsidRPr="005349C2">
        <w:rPr>
          <w:rFonts w:cstheme="minorHAnsi"/>
          <w:sz w:val="24"/>
          <w:szCs w:val="24"/>
          <w:lang w:val="el-GR"/>
        </w:rPr>
        <w:t>.</w:t>
      </w:r>
    </w:p>
    <w:p w14:paraId="7371F8A6" w14:textId="77777777" w:rsidR="009C16F9" w:rsidRDefault="005349C2" w:rsidP="005349C2">
      <w:pPr>
        <w:spacing w:line="276" w:lineRule="auto"/>
        <w:jc w:val="both"/>
        <w:rPr>
          <w:rFonts w:eastAsia="Times New Roman" w:cstheme="minorHAnsi"/>
          <w:bCs/>
          <w:color w:val="333333"/>
          <w:sz w:val="24"/>
          <w:szCs w:val="24"/>
          <w:lang w:val="el-GR"/>
        </w:rPr>
      </w:pPr>
      <w:r w:rsidRPr="005349C2">
        <w:rPr>
          <w:rFonts w:cstheme="minorHAnsi"/>
          <w:sz w:val="24"/>
          <w:szCs w:val="24"/>
          <w:lang w:val="el-GR"/>
        </w:rPr>
        <w:t xml:space="preserve"> </w:t>
      </w:r>
      <w:r w:rsidR="009C16F9" w:rsidRPr="005349C2">
        <w:rPr>
          <w:rFonts w:cstheme="minorHAnsi"/>
          <w:sz w:val="24"/>
          <w:szCs w:val="24"/>
          <w:lang w:val="el-GR"/>
        </w:rPr>
        <w:t xml:space="preserve">Το Πρόγραμμα εκκίνησε με αρχικό προϋπολογισμό 400 εκατ. ευρώ </w:t>
      </w:r>
      <w:r>
        <w:rPr>
          <w:rFonts w:cstheme="minorHAnsi"/>
          <w:sz w:val="24"/>
          <w:szCs w:val="24"/>
          <w:lang w:val="el-GR"/>
        </w:rPr>
        <w:t>αλλά σύντομα έφτασε</w:t>
      </w:r>
      <w:r w:rsidR="009C16F9" w:rsidRPr="005349C2">
        <w:rPr>
          <w:rFonts w:cstheme="minorHAnsi"/>
          <w:sz w:val="24"/>
          <w:szCs w:val="24"/>
          <w:lang w:val="el-GR"/>
        </w:rPr>
        <w:t xml:space="preserve"> τα  2,391 δισ. € (Πρόγραμμα </w:t>
      </w:r>
      <w:r>
        <w:rPr>
          <w:rFonts w:cstheme="minorHAnsi"/>
          <w:sz w:val="24"/>
          <w:szCs w:val="24"/>
          <w:lang w:val="el-GR"/>
        </w:rPr>
        <w:t>«</w:t>
      </w:r>
      <w:proofErr w:type="spellStart"/>
      <w:r w:rsidR="009C16F9" w:rsidRPr="005349C2">
        <w:rPr>
          <w:rFonts w:cstheme="minorHAnsi"/>
          <w:sz w:val="24"/>
          <w:szCs w:val="24"/>
          <w:lang w:val="el-GR"/>
        </w:rPr>
        <w:t>ΦιλόΔημος</w:t>
      </w:r>
      <w:proofErr w:type="spellEnd"/>
      <w:r w:rsidR="009C16F9" w:rsidRPr="005349C2">
        <w:rPr>
          <w:rFonts w:cstheme="minorHAnsi"/>
          <w:sz w:val="24"/>
          <w:szCs w:val="24"/>
          <w:lang w:val="el-GR"/>
        </w:rPr>
        <w:t xml:space="preserve"> Ι</w:t>
      </w:r>
      <w:r>
        <w:rPr>
          <w:rFonts w:cstheme="minorHAnsi"/>
          <w:sz w:val="24"/>
          <w:szCs w:val="24"/>
          <w:lang w:val="el-GR"/>
        </w:rPr>
        <w:t>»</w:t>
      </w:r>
      <w:r w:rsidR="009C16F9" w:rsidRPr="005349C2">
        <w:rPr>
          <w:rFonts w:cstheme="minorHAnsi"/>
          <w:sz w:val="24"/>
          <w:szCs w:val="24"/>
          <w:lang w:val="el-GR"/>
        </w:rPr>
        <w:t xml:space="preserve">: 2,0 δις €, Πρόγραμμα </w:t>
      </w:r>
      <w:r>
        <w:rPr>
          <w:rFonts w:cstheme="minorHAnsi"/>
          <w:sz w:val="24"/>
          <w:szCs w:val="24"/>
          <w:lang w:val="el-GR"/>
        </w:rPr>
        <w:t>«</w:t>
      </w:r>
      <w:proofErr w:type="spellStart"/>
      <w:r w:rsidR="009C16F9" w:rsidRPr="005349C2">
        <w:rPr>
          <w:rFonts w:cstheme="minorHAnsi"/>
          <w:sz w:val="24"/>
          <w:szCs w:val="24"/>
          <w:lang w:val="el-GR"/>
        </w:rPr>
        <w:t>ΦιλόΔημος</w:t>
      </w:r>
      <w:proofErr w:type="spellEnd"/>
      <w:r w:rsidR="009C16F9" w:rsidRPr="005349C2">
        <w:rPr>
          <w:rFonts w:cstheme="minorHAnsi"/>
          <w:sz w:val="24"/>
          <w:szCs w:val="24"/>
          <w:lang w:val="el-GR"/>
        </w:rPr>
        <w:t xml:space="preserve"> ΙΙ</w:t>
      </w:r>
      <w:r>
        <w:rPr>
          <w:rFonts w:cstheme="minorHAnsi"/>
          <w:sz w:val="24"/>
          <w:szCs w:val="24"/>
          <w:lang w:val="el-GR"/>
        </w:rPr>
        <w:t>»</w:t>
      </w:r>
      <w:r w:rsidR="009C16F9" w:rsidRPr="005349C2">
        <w:rPr>
          <w:rFonts w:cstheme="minorHAnsi"/>
          <w:sz w:val="24"/>
          <w:szCs w:val="24"/>
          <w:lang w:val="el-GR"/>
        </w:rPr>
        <w:t xml:space="preserve"> 390,99 εκ €)</w:t>
      </w:r>
      <w:r w:rsidR="009C16F9" w:rsidRPr="005349C2">
        <w:rPr>
          <w:rFonts w:cstheme="minorHAnsi"/>
          <w:bCs/>
          <w:sz w:val="24"/>
          <w:szCs w:val="24"/>
          <w:lang w:val="el-GR"/>
        </w:rPr>
        <w:t xml:space="preserve">. </w:t>
      </w:r>
      <w:r w:rsidR="009C16F9" w:rsidRPr="005349C2">
        <w:rPr>
          <w:rFonts w:eastAsia="Times New Roman" w:cstheme="minorHAnsi"/>
          <w:bCs/>
          <w:color w:val="333333"/>
          <w:sz w:val="24"/>
          <w:szCs w:val="24"/>
          <w:lang w:val="el-GR"/>
        </w:rPr>
        <w:t>Βασικό στοιχείο του είναι η δανειοδότηση των ΟΤΑ από την Ευρωπαϊκή Τράπεζα Επενδύσεων (</w:t>
      </w:r>
      <w:proofErr w:type="spellStart"/>
      <w:r w:rsidR="009C16F9" w:rsidRPr="005349C2">
        <w:rPr>
          <w:rFonts w:eastAsia="Times New Roman" w:cstheme="minorHAnsi"/>
          <w:bCs/>
          <w:color w:val="333333"/>
          <w:sz w:val="24"/>
          <w:szCs w:val="24"/>
          <w:lang w:val="el-GR"/>
        </w:rPr>
        <w:t>ΕΤΕπ</w:t>
      </w:r>
      <w:proofErr w:type="spellEnd"/>
      <w:r w:rsidR="009C16F9" w:rsidRPr="005349C2">
        <w:rPr>
          <w:rFonts w:eastAsia="Times New Roman" w:cstheme="minorHAnsi"/>
          <w:bCs/>
          <w:color w:val="333333"/>
          <w:sz w:val="24"/>
          <w:szCs w:val="24"/>
          <w:lang w:val="el-GR"/>
        </w:rPr>
        <w:t>) μέσω του Ταμείου Παρακαταθηκών και Δανείων για τη χρηματοδότηση των έργων τους.</w:t>
      </w:r>
      <w:r w:rsidR="009C16F9" w:rsidRPr="005349C2">
        <w:rPr>
          <w:rFonts w:eastAsia="Times New Roman" w:cstheme="minorHAnsi"/>
          <w:bCs/>
          <w:color w:val="333333"/>
          <w:sz w:val="24"/>
          <w:szCs w:val="24"/>
        </w:rPr>
        <w:t> </w:t>
      </w:r>
      <w:r>
        <w:rPr>
          <w:rFonts w:eastAsia="Times New Roman" w:cstheme="minorHAnsi"/>
          <w:bCs/>
          <w:color w:val="333333"/>
          <w:sz w:val="24"/>
          <w:szCs w:val="24"/>
          <w:lang w:val="el-GR"/>
        </w:rPr>
        <w:t>Η</w:t>
      </w:r>
      <w:r w:rsidR="009C16F9" w:rsidRPr="005349C2">
        <w:rPr>
          <w:rFonts w:eastAsia="Times New Roman" w:cstheme="minorHAnsi"/>
          <w:bCs/>
          <w:color w:val="333333"/>
          <w:sz w:val="24"/>
          <w:szCs w:val="24"/>
          <w:lang w:val="el-GR"/>
        </w:rPr>
        <w:t xml:space="preserve"> αποπληρωμή των δανείων καλύπτεται από πόρους του Προγράμματος Δημοσίων Επενδ</w:t>
      </w:r>
      <w:r>
        <w:rPr>
          <w:rFonts w:eastAsia="Times New Roman" w:cstheme="minorHAnsi"/>
          <w:bCs/>
          <w:color w:val="333333"/>
          <w:sz w:val="24"/>
          <w:szCs w:val="24"/>
          <w:lang w:val="el-GR"/>
        </w:rPr>
        <w:t xml:space="preserve">ύσεων του Υπουργείου Εσωτερικών, με αποτέλεσμα να μην επιβαρύνονται τελικά οι Δήμοι. </w:t>
      </w:r>
    </w:p>
    <w:p w14:paraId="765CE6BF" w14:textId="77777777" w:rsidR="00D440D5" w:rsidRPr="00D440D5" w:rsidRDefault="00D440D5" w:rsidP="00D440D5">
      <w:pPr>
        <w:pStyle w:val="ListParagraph"/>
        <w:tabs>
          <w:tab w:val="left" w:pos="459"/>
        </w:tabs>
        <w:autoSpaceDE w:val="0"/>
        <w:autoSpaceDN w:val="0"/>
        <w:adjustRightInd w:val="0"/>
        <w:spacing w:after="0"/>
        <w:ind w:left="0"/>
        <w:jc w:val="both"/>
        <w:rPr>
          <w:rFonts w:cstheme="minorHAnsi"/>
          <w:sz w:val="24"/>
          <w:szCs w:val="24"/>
          <w:lang w:val="el-GR"/>
        </w:rPr>
      </w:pPr>
      <w:r w:rsidRPr="00D440D5">
        <w:rPr>
          <w:rFonts w:cstheme="minorHAnsi"/>
          <w:bCs/>
          <w:sz w:val="24"/>
          <w:szCs w:val="24"/>
          <w:lang w:val="el-GR"/>
        </w:rPr>
        <w:t>Η παρακολούθηση, ο έλεγχος και η διοικητική ολοκλήρωση των έργων του «Φιλόδημου» έχει ανατεθεί στην ΜΟΔ Α.Ε.</w:t>
      </w:r>
    </w:p>
    <w:p w14:paraId="650D23B2" w14:textId="77777777" w:rsidR="009C16F9" w:rsidRPr="009C16F9" w:rsidRDefault="009C16F9" w:rsidP="009C16F9">
      <w:pPr>
        <w:spacing w:line="276" w:lineRule="auto"/>
        <w:jc w:val="both"/>
        <w:rPr>
          <w:rFonts w:cstheme="minorHAnsi"/>
          <w:sz w:val="24"/>
          <w:szCs w:val="24"/>
          <w:lang w:val="el-GR"/>
        </w:rPr>
      </w:pPr>
      <w:r w:rsidRPr="009C16F9">
        <w:rPr>
          <w:rFonts w:cstheme="minorHAnsi"/>
          <w:sz w:val="24"/>
          <w:szCs w:val="24"/>
          <w:lang w:val="el-GR"/>
        </w:rPr>
        <w:t xml:space="preserve">Επιγραμματικά, οι θεματικές ενότητες του </w:t>
      </w:r>
      <w:r w:rsidR="005349C2">
        <w:rPr>
          <w:rFonts w:cstheme="minorHAnsi"/>
          <w:sz w:val="24"/>
          <w:szCs w:val="24"/>
          <w:lang w:val="el-GR"/>
        </w:rPr>
        <w:t>«</w:t>
      </w:r>
      <w:proofErr w:type="spellStart"/>
      <w:r w:rsidRPr="009C16F9">
        <w:rPr>
          <w:rFonts w:cstheme="minorHAnsi"/>
          <w:sz w:val="24"/>
          <w:szCs w:val="24"/>
          <w:lang w:val="el-GR"/>
        </w:rPr>
        <w:t>ΦιλόΔημου</w:t>
      </w:r>
      <w:proofErr w:type="spellEnd"/>
      <w:r w:rsidR="005349C2">
        <w:rPr>
          <w:rFonts w:cstheme="minorHAnsi"/>
          <w:sz w:val="24"/>
          <w:szCs w:val="24"/>
          <w:lang w:val="el-GR"/>
        </w:rPr>
        <w:t>»</w:t>
      </w:r>
      <w:r w:rsidRPr="009C16F9">
        <w:rPr>
          <w:rFonts w:cstheme="minorHAnsi"/>
          <w:sz w:val="24"/>
          <w:szCs w:val="24"/>
          <w:lang w:val="el-GR"/>
        </w:rPr>
        <w:t xml:space="preserve"> είναι:</w:t>
      </w:r>
    </w:p>
    <w:p w14:paraId="441F5CAC" w14:textId="77777777" w:rsidR="005349C2" w:rsidRDefault="009C16F9" w:rsidP="00D440D5">
      <w:pPr>
        <w:pStyle w:val="ListParagraph"/>
        <w:numPr>
          <w:ilvl w:val="0"/>
          <w:numId w:val="2"/>
        </w:numPr>
        <w:jc w:val="both"/>
        <w:rPr>
          <w:rFonts w:cstheme="minorHAnsi"/>
          <w:sz w:val="24"/>
          <w:szCs w:val="24"/>
          <w:lang w:val="el-GR"/>
        </w:rPr>
      </w:pPr>
      <w:proofErr w:type="spellStart"/>
      <w:r w:rsidRPr="00D440D5">
        <w:rPr>
          <w:rFonts w:cstheme="minorHAnsi"/>
          <w:b/>
          <w:bCs/>
          <w:sz w:val="24"/>
          <w:szCs w:val="24"/>
          <w:lang w:val="el-GR"/>
        </w:rPr>
        <w:t>ΦιλόΔημος</w:t>
      </w:r>
      <w:proofErr w:type="spellEnd"/>
      <w:r w:rsidRPr="00D440D5">
        <w:rPr>
          <w:rFonts w:cstheme="minorHAnsi"/>
          <w:b/>
          <w:bCs/>
          <w:sz w:val="24"/>
          <w:szCs w:val="24"/>
          <w:lang w:val="el-GR"/>
        </w:rPr>
        <w:t xml:space="preserve"> Ι:</w:t>
      </w:r>
      <w:r w:rsidRPr="00D440D5">
        <w:rPr>
          <w:rFonts w:cstheme="minorHAnsi"/>
          <w:sz w:val="24"/>
          <w:szCs w:val="24"/>
          <w:lang w:val="el-GR"/>
        </w:rPr>
        <w:t xml:space="preserve"> Ύδρευση – αποχέτευση λυμάτων – κτίρια (εμβληματικά, Δημαρχεία, σχολεία) - αγροτική </w:t>
      </w:r>
      <w:proofErr w:type="spellStart"/>
      <w:r w:rsidRPr="00D440D5">
        <w:rPr>
          <w:rFonts w:cstheme="minorHAnsi"/>
          <w:sz w:val="24"/>
          <w:szCs w:val="24"/>
          <w:lang w:val="el-GR"/>
        </w:rPr>
        <w:t>οδοποιϊα</w:t>
      </w:r>
      <w:proofErr w:type="spellEnd"/>
      <w:r w:rsidRPr="00D440D5">
        <w:rPr>
          <w:rFonts w:cstheme="minorHAnsi"/>
          <w:sz w:val="24"/>
          <w:szCs w:val="24"/>
          <w:lang w:val="el-GR"/>
        </w:rPr>
        <w:t xml:space="preserve"> </w:t>
      </w:r>
      <w:r w:rsidR="005349C2" w:rsidRPr="00D440D5">
        <w:rPr>
          <w:rFonts w:cstheme="minorHAnsi"/>
          <w:sz w:val="24"/>
          <w:szCs w:val="24"/>
          <w:lang w:val="el-GR"/>
        </w:rPr>
        <w:t>–</w:t>
      </w:r>
      <w:r w:rsidRPr="00D440D5">
        <w:rPr>
          <w:rFonts w:cstheme="minorHAnsi"/>
          <w:sz w:val="24"/>
          <w:szCs w:val="24"/>
          <w:lang w:val="el-GR"/>
        </w:rPr>
        <w:t xml:space="preserve"> </w:t>
      </w:r>
      <w:r w:rsidR="005349C2" w:rsidRPr="00D440D5">
        <w:rPr>
          <w:rFonts w:cstheme="minorHAnsi"/>
          <w:sz w:val="24"/>
          <w:szCs w:val="24"/>
          <w:lang w:val="el-GR"/>
        </w:rPr>
        <w:t>αποκατάσταση παράνομων χωματερών</w:t>
      </w:r>
      <w:r w:rsidRPr="00D440D5">
        <w:rPr>
          <w:rFonts w:cstheme="minorHAnsi"/>
          <w:sz w:val="24"/>
          <w:szCs w:val="24"/>
          <w:lang w:val="el-GR"/>
        </w:rPr>
        <w:t xml:space="preserve"> (ΧΑΔΑ) - εμβληματικά έργα ύδρευσης  - έργα αντιπλημμυρικής προστασίας. </w:t>
      </w:r>
    </w:p>
    <w:p w14:paraId="023319BD" w14:textId="77777777" w:rsidR="006C52D0" w:rsidRDefault="006C52D0" w:rsidP="006C52D0">
      <w:pPr>
        <w:jc w:val="both"/>
        <w:rPr>
          <w:rFonts w:cstheme="minorHAnsi"/>
          <w:sz w:val="24"/>
          <w:szCs w:val="24"/>
          <w:lang w:val="el-GR"/>
        </w:rPr>
      </w:pPr>
    </w:p>
    <w:p w14:paraId="7D6F26AC" w14:textId="77777777" w:rsidR="006C52D0" w:rsidRDefault="006C52D0" w:rsidP="006C52D0">
      <w:pPr>
        <w:jc w:val="both"/>
        <w:rPr>
          <w:rFonts w:cstheme="minorHAnsi"/>
          <w:sz w:val="24"/>
          <w:szCs w:val="24"/>
          <w:lang w:val="el-GR"/>
        </w:rPr>
      </w:pPr>
    </w:p>
    <w:p w14:paraId="2C2B8B79" w14:textId="77777777" w:rsidR="006C52D0" w:rsidRPr="006C52D0" w:rsidRDefault="006C52D0" w:rsidP="006C52D0">
      <w:pPr>
        <w:jc w:val="both"/>
        <w:rPr>
          <w:rFonts w:cstheme="minorHAnsi"/>
          <w:sz w:val="24"/>
          <w:szCs w:val="24"/>
          <w:lang w:val="el-GR"/>
        </w:rPr>
      </w:pPr>
    </w:p>
    <w:p w14:paraId="1D927C99" w14:textId="77777777" w:rsidR="00CA4D63" w:rsidRPr="006C52D0" w:rsidRDefault="009C16F9" w:rsidP="006C52D0">
      <w:pPr>
        <w:pStyle w:val="ListParagraph"/>
        <w:numPr>
          <w:ilvl w:val="0"/>
          <w:numId w:val="2"/>
        </w:numPr>
        <w:jc w:val="both"/>
        <w:rPr>
          <w:rFonts w:cstheme="minorHAnsi"/>
          <w:sz w:val="24"/>
          <w:szCs w:val="24"/>
          <w:lang w:val="el-GR"/>
        </w:rPr>
      </w:pPr>
      <w:proofErr w:type="spellStart"/>
      <w:r w:rsidRPr="00D440D5">
        <w:rPr>
          <w:rFonts w:cstheme="minorHAnsi"/>
          <w:b/>
          <w:bCs/>
          <w:sz w:val="24"/>
          <w:szCs w:val="24"/>
          <w:lang w:val="el-GR"/>
        </w:rPr>
        <w:t>ΦιλόΔημος</w:t>
      </w:r>
      <w:proofErr w:type="spellEnd"/>
      <w:r w:rsidRPr="00D440D5">
        <w:rPr>
          <w:rFonts w:cstheme="minorHAnsi"/>
          <w:b/>
          <w:bCs/>
          <w:sz w:val="24"/>
          <w:szCs w:val="24"/>
          <w:lang w:val="el-GR"/>
        </w:rPr>
        <w:t xml:space="preserve"> ΙΙ:</w:t>
      </w:r>
      <w:r w:rsidRPr="00D440D5">
        <w:rPr>
          <w:rFonts w:cstheme="minorHAnsi"/>
          <w:sz w:val="24"/>
          <w:szCs w:val="24"/>
          <w:lang w:val="el-GR"/>
        </w:rPr>
        <w:t xml:space="preserve"> συντήρηση σχολείων - παιδικές χαρές – αθλητικές εγκαταστάσεις - μηχανήματα έργου - μελέτες διαχείρισης υδάτων - μελέτες λιμενικών υποδομών των Δημοτικών Λιμενικών Ταμείων και των Δημοτικών Λιμενικών Γραφείων - μελέτες και υλοποίηση μέτρων και μέσων πυροπροστασίας στις σχολικές μονάδες της χώρας - κατασκευή ραμπών και χώρων υγιεινής για την πρόσβαση και την εξυπηρέτηση ΑΜΕΑ σε σχολικές μονάδες. </w:t>
      </w:r>
    </w:p>
    <w:p w14:paraId="17C2B2AE" w14:textId="77777777" w:rsidR="000F28EB" w:rsidRDefault="000F28EB" w:rsidP="000F28EB">
      <w:pPr>
        <w:pStyle w:val="ListParagraph"/>
        <w:ind w:left="360"/>
        <w:jc w:val="both"/>
        <w:rPr>
          <w:rFonts w:cstheme="minorHAnsi"/>
          <w:b/>
          <w:bCs/>
          <w:sz w:val="24"/>
          <w:szCs w:val="24"/>
          <w:u w:val="single"/>
          <w:lang w:val="el-GR"/>
        </w:rPr>
      </w:pPr>
    </w:p>
    <w:p w14:paraId="234D806C" w14:textId="77777777" w:rsidR="000F28EB" w:rsidRPr="000F28EB" w:rsidRDefault="000F28EB" w:rsidP="000F28EB">
      <w:pPr>
        <w:pStyle w:val="ListParagraph"/>
        <w:ind w:left="360"/>
        <w:jc w:val="both"/>
        <w:rPr>
          <w:rFonts w:cstheme="minorHAnsi"/>
          <w:sz w:val="24"/>
          <w:szCs w:val="24"/>
          <w:u w:val="single"/>
          <w:lang w:val="el-GR"/>
        </w:rPr>
      </w:pPr>
      <w:r w:rsidRPr="000F28EB">
        <w:rPr>
          <w:rFonts w:cstheme="minorHAnsi"/>
          <w:b/>
          <w:bCs/>
          <w:sz w:val="24"/>
          <w:szCs w:val="24"/>
          <w:u w:val="single"/>
          <w:lang w:val="el-GR"/>
        </w:rPr>
        <w:t>Στοιχεία υλοποίησης του Προγράμματος</w:t>
      </w:r>
    </w:p>
    <w:p w14:paraId="6F448673" w14:textId="77777777" w:rsidR="000F28EB" w:rsidRDefault="000F28EB" w:rsidP="00D8560C">
      <w:pPr>
        <w:pStyle w:val="a"/>
        <w:tabs>
          <w:tab w:val="left" w:pos="459"/>
        </w:tabs>
        <w:spacing w:line="276" w:lineRule="auto"/>
        <w:rPr>
          <w:rFonts w:asciiTheme="minorHAnsi" w:eastAsiaTheme="minorEastAsia" w:hAnsiTheme="minorHAnsi" w:cstheme="minorHAnsi"/>
          <w:sz w:val="24"/>
          <w:szCs w:val="24"/>
          <w:lang w:val="el-GR"/>
        </w:rPr>
      </w:pPr>
      <w:r>
        <w:rPr>
          <w:rFonts w:asciiTheme="minorHAnsi" w:eastAsiaTheme="minorHAnsi" w:hAnsiTheme="minorHAnsi" w:cstheme="minorHAnsi"/>
          <w:sz w:val="24"/>
          <w:szCs w:val="24"/>
          <w:lang w:val="el-GR" w:eastAsia="en-US"/>
        </w:rPr>
        <w:t xml:space="preserve">Έως τώρα έχουν εκδοθεί συνολικά επτά (7) προσκλήσεις και </w:t>
      </w:r>
      <w:r w:rsidR="00CA4D63">
        <w:rPr>
          <w:rFonts w:asciiTheme="minorHAnsi" w:eastAsiaTheme="minorHAnsi" w:hAnsiTheme="minorHAnsi" w:cstheme="minorHAnsi"/>
          <w:sz w:val="24"/>
          <w:szCs w:val="24"/>
          <w:lang w:val="el-GR" w:eastAsia="en-US"/>
        </w:rPr>
        <w:t xml:space="preserve">από τα δημοσιευμένα στοιχεία προκύπτει ότι </w:t>
      </w:r>
      <w:r>
        <w:rPr>
          <w:rFonts w:asciiTheme="minorHAnsi" w:eastAsiaTheme="minorHAnsi" w:hAnsiTheme="minorHAnsi" w:cstheme="minorHAnsi"/>
          <w:sz w:val="24"/>
          <w:szCs w:val="24"/>
          <w:lang w:val="el-GR" w:eastAsia="en-US"/>
        </w:rPr>
        <w:t xml:space="preserve">έχουν ενταχθεί 502 έργα συνολικού προϋπολογισμού </w:t>
      </w:r>
      <w:r w:rsidRPr="000F28EB">
        <w:rPr>
          <w:rFonts w:asciiTheme="minorHAnsi" w:eastAsiaTheme="minorHAnsi" w:hAnsiTheme="minorHAnsi" w:cstheme="minorHAnsi"/>
          <w:sz w:val="24"/>
          <w:szCs w:val="24"/>
          <w:lang w:val="el-GR" w:eastAsia="en-US"/>
        </w:rPr>
        <w:t xml:space="preserve">€ </w:t>
      </w:r>
      <w:r w:rsidRPr="000F28EB">
        <w:rPr>
          <w:rFonts w:asciiTheme="minorHAnsi" w:eastAsiaTheme="minorEastAsia" w:hAnsiTheme="minorHAnsi" w:cstheme="minorHAnsi"/>
          <w:sz w:val="24"/>
          <w:szCs w:val="24"/>
          <w:lang w:val="el-GR"/>
        </w:rPr>
        <w:t>1.236.438.817,73</w:t>
      </w:r>
      <w:r w:rsidRPr="000F28EB">
        <w:rPr>
          <w:rFonts w:asciiTheme="minorHAnsi" w:hAnsiTheme="minorHAnsi" w:cstheme="minorHAnsi"/>
          <w:bCs/>
          <w:sz w:val="24"/>
          <w:szCs w:val="24"/>
          <w:lang w:val="el-GR"/>
        </w:rPr>
        <w:t xml:space="preserve"> </w:t>
      </w:r>
      <w:r>
        <w:rPr>
          <w:rFonts w:asciiTheme="minorHAnsi" w:hAnsiTheme="minorHAnsi" w:cstheme="minorHAnsi"/>
          <w:bCs/>
          <w:sz w:val="24"/>
          <w:szCs w:val="24"/>
          <w:lang w:val="el-GR"/>
        </w:rPr>
        <w:t>(περίπου δηλαδή σε ποσοστό</w:t>
      </w:r>
      <w:r w:rsidRPr="00D8560C">
        <w:rPr>
          <w:rFonts w:asciiTheme="minorHAnsi" w:hAnsiTheme="minorHAnsi" w:cstheme="minorHAnsi"/>
          <w:bCs/>
          <w:sz w:val="24"/>
          <w:szCs w:val="24"/>
          <w:lang w:val="el-GR"/>
        </w:rPr>
        <w:t xml:space="preserve"> 62% της συνολικής εξειδίκευσης του Προγράμματος</w:t>
      </w:r>
      <w:r>
        <w:rPr>
          <w:rFonts w:asciiTheme="minorHAnsi" w:eastAsiaTheme="minorEastAsia" w:hAnsiTheme="minorHAnsi" w:cstheme="minorHAnsi"/>
          <w:sz w:val="24"/>
          <w:szCs w:val="24"/>
          <w:lang w:val="el-GR"/>
        </w:rPr>
        <w:t>), όπως αποτυπώνονται στον παρακάτω πίνακα (ανά πρόσκληση):</w:t>
      </w:r>
    </w:p>
    <w:p w14:paraId="32E6D41A" w14:textId="77777777" w:rsidR="000F28EB" w:rsidRDefault="000F28EB" w:rsidP="00D8560C">
      <w:pPr>
        <w:pStyle w:val="a"/>
        <w:tabs>
          <w:tab w:val="left" w:pos="459"/>
        </w:tabs>
        <w:spacing w:line="276" w:lineRule="auto"/>
        <w:rPr>
          <w:rFonts w:asciiTheme="minorHAnsi" w:eastAsiaTheme="minorEastAsia" w:hAnsiTheme="minorHAnsi" w:cstheme="minorHAnsi"/>
          <w:sz w:val="24"/>
          <w:szCs w:val="24"/>
          <w:lang w:val="el-GR"/>
        </w:rPr>
      </w:pPr>
    </w:p>
    <w:tbl>
      <w:tblPr>
        <w:tblStyle w:val="TableGrid"/>
        <w:tblW w:w="9595" w:type="dxa"/>
        <w:jc w:val="center"/>
        <w:tblLook w:val="04A0" w:firstRow="1" w:lastRow="0" w:firstColumn="1" w:lastColumn="0" w:noHBand="0" w:noVBand="1"/>
      </w:tblPr>
      <w:tblGrid>
        <w:gridCol w:w="662"/>
        <w:gridCol w:w="2461"/>
        <w:gridCol w:w="1204"/>
        <w:gridCol w:w="2212"/>
        <w:gridCol w:w="3056"/>
      </w:tblGrid>
      <w:tr w:rsidR="000F28EB" w:rsidRPr="009C16F9" w14:paraId="28E45174" w14:textId="77777777" w:rsidTr="00E6614F">
        <w:trPr>
          <w:jc w:val="center"/>
        </w:trPr>
        <w:tc>
          <w:tcPr>
            <w:tcW w:w="662" w:type="dxa"/>
            <w:vAlign w:val="center"/>
          </w:tcPr>
          <w:p w14:paraId="5C63B9B1" w14:textId="77777777" w:rsidR="000F28EB" w:rsidRPr="009C16F9" w:rsidRDefault="000F28EB" w:rsidP="00E6614F">
            <w:pPr>
              <w:jc w:val="center"/>
              <w:rPr>
                <w:rFonts w:cstheme="minorHAnsi"/>
                <w:b/>
                <w:sz w:val="24"/>
                <w:szCs w:val="24"/>
                <w:lang w:val="el-GR"/>
              </w:rPr>
            </w:pPr>
            <w:r w:rsidRPr="009C16F9">
              <w:rPr>
                <w:rFonts w:cstheme="minorHAnsi"/>
                <w:b/>
                <w:sz w:val="24"/>
                <w:szCs w:val="24"/>
                <w:lang w:val="el-GR"/>
              </w:rPr>
              <w:t>α/α</w:t>
            </w:r>
          </w:p>
        </w:tc>
        <w:tc>
          <w:tcPr>
            <w:tcW w:w="2461" w:type="dxa"/>
            <w:vAlign w:val="center"/>
          </w:tcPr>
          <w:p w14:paraId="78D7A9BE" w14:textId="77777777" w:rsidR="000F28EB" w:rsidRPr="009C16F9" w:rsidRDefault="000F28EB" w:rsidP="00E6614F">
            <w:pPr>
              <w:jc w:val="center"/>
              <w:rPr>
                <w:rFonts w:cstheme="minorHAnsi"/>
                <w:b/>
                <w:sz w:val="24"/>
                <w:szCs w:val="24"/>
                <w:lang w:val="el-GR"/>
              </w:rPr>
            </w:pPr>
            <w:r w:rsidRPr="009C16F9">
              <w:rPr>
                <w:rFonts w:cstheme="minorHAnsi"/>
                <w:b/>
                <w:sz w:val="24"/>
                <w:szCs w:val="24"/>
                <w:lang w:val="el-GR"/>
              </w:rPr>
              <w:t>Πρόσκληση</w:t>
            </w:r>
          </w:p>
        </w:tc>
        <w:tc>
          <w:tcPr>
            <w:tcW w:w="1204" w:type="dxa"/>
            <w:vAlign w:val="center"/>
          </w:tcPr>
          <w:p w14:paraId="0497D430" w14:textId="77777777" w:rsidR="000F28EB" w:rsidRPr="009C16F9" w:rsidRDefault="000F28EB" w:rsidP="00E6614F">
            <w:pPr>
              <w:jc w:val="center"/>
              <w:rPr>
                <w:rFonts w:cstheme="minorHAnsi"/>
                <w:b/>
                <w:sz w:val="24"/>
                <w:szCs w:val="24"/>
                <w:lang w:val="el-GR"/>
              </w:rPr>
            </w:pPr>
            <w:r w:rsidRPr="009C16F9">
              <w:rPr>
                <w:rFonts w:cstheme="minorHAnsi"/>
                <w:b/>
                <w:sz w:val="24"/>
                <w:szCs w:val="24"/>
                <w:lang w:val="el-GR"/>
              </w:rPr>
              <w:t>Αριθμός έργων</w:t>
            </w:r>
          </w:p>
        </w:tc>
        <w:tc>
          <w:tcPr>
            <w:tcW w:w="2212" w:type="dxa"/>
            <w:vAlign w:val="center"/>
          </w:tcPr>
          <w:p w14:paraId="4FB3FA25" w14:textId="77777777" w:rsidR="000F28EB" w:rsidRPr="009C16F9" w:rsidRDefault="000F28EB" w:rsidP="00E6614F">
            <w:pPr>
              <w:jc w:val="center"/>
              <w:rPr>
                <w:rFonts w:cstheme="minorHAnsi"/>
                <w:b/>
                <w:sz w:val="24"/>
                <w:szCs w:val="24"/>
                <w:lang w:val="el-GR"/>
              </w:rPr>
            </w:pPr>
            <w:r w:rsidRPr="009C16F9">
              <w:rPr>
                <w:rFonts w:cstheme="minorHAnsi"/>
                <w:b/>
                <w:sz w:val="24"/>
                <w:szCs w:val="24"/>
                <w:lang w:val="el-GR"/>
              </w:rPr>
              <w:t>Π/Υ</w:t>
            </w:r>
          </w:p>
        </w:tc>
        <w:tc>
          <w:tcPr>
            <w:tcW w:w="3056" w:type="dxa"/>
            <w:vAlign w:val="center"/>
          </w:tcPr>
          <w:p w14:paraId="46904CEF" w14:textId="77777777" w:rsidR="000F28EB" w:rsidRPr="009C16F9" w:rsidRDefault="000F28EB" w:rsidP="00E6614F">
            <w:pPr>
              <w:jc w:val="center"/>
              <w:rPr>
                <w:rFonts w:cstheme="minorHAnsi"/>
                <w:b/>
                <w:sz w:val="24"/>
                <w:szCs w:val="24"/>
                <w:lang w:val="el-GR"/>
              </w:rPr>
            </w:pPr>
            <w:r w:rsidRPr="009C16F9">
              <w:rPr>
                <w:rFonts w:cstheme="minorHAnsi"/>
                <w:b/>
                <w:sz w:val="24"/>
                <w:szCs w:val="24"/>
                <w:lang w:val="el-GR"/>
              </w:rPr>
              <w:t>Παρατηρήσεις</w:t>
            </w:r>
          </w:p>
        </w:tc>
      </w:tr>
      <w:tr w:rsidR="000F28EB" w:rsidRPr="004773FC" w14:paraId="0D862518" w14:textId="77777777" w:rsidTr="00E6614F">
        <w:trPr>
          <w:jc w:val="center"/>
        </w:trPr>
        <w:tc>
          <w:tcPr>
            <w:tcW w:w="662" w:type="dxa"/>
            <w:vAlign w:val="center"/>
          </w:tcPr>
          <w:p w14:paraId="5A15A6CE"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1</w:t>
            </w:r>
          </w:p>
        </w:tc>
        <w:tc>
          <w:tcPr>
            <w:tcW w:w="2461" w:type="dxa"/>
            <w:vAlign w:val="center"/>
          </w:tcPr>
          <w:p w14:paraId="0BAD1A9C" w14:textId="77777777" w:rsidR="000F28EB" w:rsidRPr="009C16F9" w:rsidRDefault="000F28EB" w:rsidP="00E6614F">
            <w:pPr>
              <w:rPr>
                <w:rFonts w:cstheme="minorHAnsi"/>
                <w:bCs/>
                <w:sz w:val="24"/>
                <w:szCs w:val="24"/>
                <w:lang w:val="el-GR"/>
              </w:rPr>
            </w:pPr>
            <w:r w:rsidRPr="009C16F9">
              <w:rPr>
                <w:rFonts w:cstheme="minorHAnsi"/>
                <w:bCs/>
                <w:sz w:val="24"/>
                <w:szCs w:val="24"/>
                <w:lang w:val="el-GR"/>
              </w:rPr>
              <w:t>Ι</w:t>
            </w:r>
            <w:r w:rsidRPr="009C16F9">
              <w:rPr>
                <w:rFonts w:cstheme="minorHAnsi"/>
                <w:bCs/>
                <w:sz w:val="24"/>
                <w:szCs w:val="24"/>
              </w:rPr>
              <w:t xml:space="preserve"> (</w:t>
            </w:r>
            <w:r w:rsidRPr="009C16F9">
              <w:rPr>
                <w:rFonts w:cstheme="minorHAnsi"/>
                <w:bCs/>
                <w:sz w:val="24"/>
                <w:szCs w:val="24"/>
                <w:lang w:val="el-GR"/>
              </w:rPr>
              <w:t>ύδρευση)</w:t>
            </w:r>
          </w:p>
        </w:tc>
        <w:tc>
          <w:tcPr>
            <w:tcW w:w="1204" w:type="dxa"/>
            <w:vAlign w:val="center"/>
          </w:tcPr>
          <w:p w14:paraId="0AE28A1F"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210</w:t>
            </w:r>
          </w:p>
        </w:tc>
        <w:tc>
          <w:tcPr>
            <w:tcW w:w="2212" w:type="dxa"/>
            <w:vAlign w:val="center"/>
          </w:tcPr>
          <w:p w14:paraId="2FD98AA0" w14:textId="77777777" w:rsidR="000F28EB" w:rsidRPr="009C16F9" w:rsidRDefault="000F28EB" w:rsidP="00E6614F">
            <w:pPr>
              <w:jc w:val="center"/>
              <w:rPr>
                <w:rFonts w:cstheme="minorHAnsi"/>
                <w:bCs/>
                <w:sz w:val="24"/>
                <w:szCs w:val="24"/>
              </w:rPr>
            </w:pPr>
            <w:r w:rsidRPr="009C16F9">
              <w:rPr>
                <w:rFonts w:cstheme="minorHAnsi"/>
                <w:bCs/>
                <w:sz w:val="24"/>
                <w:szCs w:val="24"/>
                <w:lang w:val="el-GR"/>
              </w:rPr>
              <w:t>482.161.193,06</w:t>
            </w:r>
          </w:p>
        </w:tc>
        <w:tc>
          <w:tcPr>
            <w:tcW w:w="3056" w:type="dxa"/>
            <w:vAlign w:val="center"/>
          </w:tcPr>
          <w:p w14:paraId="47A7DAEA" w14:textId="77777777" w:rsidR="000F28EB" w:rsidRPr="009C16F9" w:rsidRDefault="000F28EB" w:rsidP="00E6614F">
            <w:pPr>
              <w:rPr>
                <w:rFonts w:cstheme="minorHAnsi"/>
                <w:bCs/>
                <w:sz w:val="24"/>
                <w:szCs w:val="24"/>
                <w:lang w:val="el-GR"/>
              </w:rPr>
            </w:pPr>
            <w:r w:rsidRPr="009C16F9">
              <w:rPr>
                <w:rFonts w:cstheme="minorHAnsi"/>
                <w:bCs/>
                <w:sz w:val="24"/>
                <w:szCs w:val="24"/>
                <w:lang w:val="el-GR"/>
              </w:rPr>
              <w:t>105 έργα είναι έργα των ΔΕΥΑ, με π/υ 237.070.357,86 €</w:t>
            </w:r>
          </w:p>
        </w:tc>
      </w:tr>
      <w:tr w:rsidR="000F28EB" w:rsidRPr="004773FC" w14:paraId="44500AA1" w14:textId="77777777" w:rsidTr="00E6614F">
        <w:trPr>
          <w:jc w:val="center"/>
        </w:trPr>
        <w:tc>
          <w:tcPr>
            <w:tcW w:w="662" w:type="dxa"/>
            <w:vAlign w:val="center"/>
          </w:tcPr>
          <w:p w14:paraId="6E49B447"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2</w:t>
            </w:r>
          </w:p>
        </w:tc>
        <w:tc>
          <w:tcPr>
            <w:tcW w:w="2461" w:type="dxa"/>
            <w:vAlign w:val="center"/>
          </w:tcPr>
          <w:p w14:paraId="1C95E83A" w14:textId="77777777" w:rsidR="000F28EB" w:rsidRPr="009C16F9" w:rsidRDefault="000F28EB" w:rsidP="00E6614F">
            <w:pPr>
              <w:rPr>
                <w:rFonts w:cstheme="minorHAnsi"/>
                <w:bCs/>
                <w:sz w:val="24"/>
                <w:szCs w:val="24"/>
                <w:lang w:val="el-GR"/>
              </w:rPr>
            </w:pPr>
            <w:r w:rsidRPr="009C16F9">
              <w:rPr>
                <w:rFonts w:cstheme="minorHAnsi"/>
                <w:bCs/>
                <w:sz w:val="24"/>
                <w:szCs w:val="24"/>
                <w:lang w:val="el-GR"/>
              </w:rPr>
              <w:t>ΙΙ (αποχέτευση)</w:t>
            </w:r>
          </w:p>
        </w:tc>
        <w:tc>
          <w:tcPr>
            <w:tcW w:w="1204" w:type="dxa"/>
            <w:vAlign w:val="center"/>
          </w:tcPr>
          <w:p w14:paraId="3DFACA38"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95</w:t>
            </w:r>
          </w:p>
        </w:tc>
        <w:tc>
          <w:tcPr>
            <w:tcW w:w="2212" w:type="dxa"/>
            <w:vAlign w:val="center"/>
          </w:tcPr>
          <w:p w14:paraId="592C9551"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406.578.994,78</w:t>
            </w:r>
          </w:p>
        </w:tc>
        <w:tc>
          <w:tcPr>
            <w:tcW w:w="3056" w:type="dxa"/>
            <w:vAlign w:val="center"/>
          </w:tcPr>
          <w:p w14:paraId="1E692F80" w14:textId="77777777" w:rsidR="000F28EB" w:rsidRPr="009C16F9" w:rsidRDefault="000F28EB" w:rsidP="00E6614F">
            <w:pPr>
              <w:rPr>
                <w:rFonts w:cstheme="minorHAnsi"/>
                <w:bCs/>
                <w:sz w:val="24"/>
                <w:szCs w:val="24"/>
                <w:lang w:val="el-GR"/>
              </w:rPr>
            </w:pPr>
            <w:r w:rsidRPr="009C16F9">
              <w:rPr>
                <w:rFonts w:cstheme="minorHAnsi"/>
                <w:bCs/>
                <w:sz w:val="24"/>
                <w:szCs w:val="24"/>
                <w:lang w:val="el-GR"/>
              </w:rPr>
              <w:t>66 έργα είναι έργα των ΔΕΥΑ με π/υ 259.182.784,55 €</w:t>
            </w:r>
          </w:p>
        </w:tc>
      </w:tr>
      <w:tr w:rsidR="000F28EB" w:rsidRPr="009C16F9" w14:paraId="3EFC014C" w14:textId="77777777" w:rsidTr="00E6614F">
        <w:trPr>
          <w:jc w:val="center"/>
        </w:trPr>
        <w:tc>
          <w:tcPr>
            <w:tcW w:w="662" w:type="dxa"/>
            <w:vAlign w:val="center"/>
          </w:tcPr>
          <w:p w14:paraId="4DB4A71E"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3</w:t>
            </w:r>
          </w:p>
        </w:tc>
        <w:tc>
          <w:tcPr>
            <w:tcW w:w="2461" w:type="dxa"/>
            <w:vAlign w:val="center"/>
          </w:tcPr>
          <w:p w14:paraId="267C0191" w14:textId="77777777" w:rsidR="000F28EB" w:rsidRPr="009C16F9" w:rsidRDefault="000F28EB" w:rsidP="00E6614F">
            <w:pPr>
              <w:rPr>
                <w:rFonts w:cstheme="minorHAnsi"/>
                <w:bCs/>
                <w:sz w:val="24"/>
                <w:szCs w:val="24"/>
                <w:lang w:val="el-GR"/>
              </w:rPr>
            </w:pPr>
            <w:r w:rsidRPr="009C16F9">
              <w:rPr>
                <w:rFonts w:cstheme="minorHAnsi"/>
                <w:bCs/>
                <w:sz w:val="24"/>
                <w:szCs w:val="24"/>
                <w:lang w:val="el-GR"/>
              </w:rPr>
              <w:t>ΙΙΙ (ΧΑΔΑ)</w:t>
            </w:r>
          </w:p>
        </w:tc>
        <w:tc>
          <w:tcPr>
            <w:tcW w:w="1204" w:type="dxa"/>
            <w:vAlign w:val="center"/>
          </w:tcPr>
          <w:p w14:paraId="7E54DF14"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5</w:t>
            </w:r>
          </w:p>
        </w:tc>
        <w:tc>
          <w:tcPr>
            <w:tcW w:w="2212" w:type="dxa"/>
            <w:vAlign w:val="center"/>
          </w:tcPr>
          <w:p w14:paraId="18FF0671"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5.312.849,20</w:t>
            </w:r>
          </w:p>
        </w:tc>
        <w:tc>
          <w:tcPr>
            <w:tcW w:w="3056" w:type="dxa"/>
            <w:vAlign w:val="center"/>
          </w:tcPr>
          <w:p w14:paraId="0AA6E06A" w14:textId="77777777" w:rsidR="000F28EB" w:rsidRPr="009C16F9" w:rsidRDefault="000F28EB" w:rsidP="00E6614F">
            <w:pPr>
              <w:rPr>
                <w:rFonts w:cstheme="minorHAnsi"/>
                <w:bCs/>
                <w:sz w:val="24"/>
                <w:szCs w:val="24"/>
                <w:lang w:val="el-GR"/>
              </w:rPr>
            </w:pPr>
          </w:p>
        </w:tc>
      </w:tr>
      <w:tr w:rsidR="000F28EB" w:rsidRPr="009C16F9" w14:paraId="3F74252E" w14:textId="77777777" w:rsidTr="00E6614F">
        <w:trPr>
          <w:jc w:val="center"/>
        </w:trPr>
        <w:tc>
          <w:tcPr>
            <w:tcW w:w="662" w:type="dxa"/>
            <w:vAlign w:val="center"/>
          </w:tcPr>
          <w:p w14:paraId="64CAA2B0"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4</w:t>
            </w:r>
          </w:p>
        </w:tc>
        <w:tc>
          <w:tcPr>
            <w:tcW w:w="2461" w:type="dxa"/>
            <w:vAlign w:val="center"/>
          </w:tcPr>
          <w:p w14:paraId="4CD03139" w14:textId="77777777" w:rsidR="000F28EB" w:rsidRPr="009C16F9" w:rsidRDefault="000F28EB" w:rsidP="00E6614F">
            <w:pPr>
              <w:rPr>
                <w:rFonts w:cstheme="minorHAnsi"/>
                <w:bCs/>
                <w:sz w:val="24"/>
                <w:szCs w:val="24"/>
                <w:lang w:val="el-GR"/>
              </w:rPr>
            </w:pPr>
            <w:r w:rsidRPr="009C16F9">
              <w:rPr>
                <w:rFonts w:cstheme="minorHAnsi"/>
                <w:bCs/>
                <w:sz w:val="24"/>
                <w:szCs w:val="24"/>
                <w:lang w:val="el-GR"/>
              </w:rPr>
              <w:t>Ι</w:t>
            </w:r>
            <w:r w:rsidRPr="009C16F9">
              <w:rPr>
                <w:rFonts w:cstheme="minorHAnsi"/>
                <w:bCs/>
                <w:sz w:val="24"/>
                <w:szCs w:val="24"/>
              </w:rPr>
              <w:t>V</w:t>
            </w:r>
            <w:r w:rsidRPr="009C16F9">
              <w:rPr>
                <w:rFonts w:cstheme="minorHAnsi"/>
                <w:bCs/>
                <w:sz w:val="24"/>
                <w:szCs w:val="24"/>
                <w:lang w:val="el-GR"/>
              </w:rPr>
              <w:t xml:space="preserve"> (αγροτική οδοποιία)</w:t>
            </w:r>
          </w:p>
        </w:tc>
        <w:tc>
          <w:tcPr>
            <w:tcW w:w="1204" w:type="dxa"/>
            <w:vAlign w:val="center"/>
          </w:tcPr>
          <w:p w14:paraId="69FD3823"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132</w:t>
            </w:r>
          </w:p>
        </w:tc>
        <w:tc>
          <w:tcPr>
            <w:tcW w:w="2212" w:type="dxa"/>
            <w:vAlign w:val="center"/>
          </w:tcPr>
          <w:p w14:paraId="325F8E27"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100.718.847,03</w:t>
            </w:r>
          </w:p>
        </w:tc>
        <w:tc>
          <w:tcPr>
            <w:tcW w:w="3056" w:type="dxa"/>
            <w:vAlign w:val="center"/>
          </w:tcPr>
          <w:p w14:paraId="16DD362D" w14:textId="77777777" w:rsidR="000F28EB" w:rsidRPr="009C16F9" w:rsidRDefault="000F28EB" w:rsidP="00E6614F">
            <w:pPr>
              <w:rPr>
                <w:rFonts w:cstheme="minorHAnsi"/>
                <w:bCs/>
                <w:sz w:val="24"/>
                <w:szCs w:val="24"/>
                <w:lang w:val="el-GR"/>
              </w:rPr>
            </w:pPr>
          </w:p>
        </w:tc>
      </w:tr>
      <w:tr w:rsidR="000F28EB" w:rsidRPr="009C16F9" w14:paraId="0DBCEFE0" w14:textId="77777777" w:rsidTr="00E6614F">
        <w:trPr>
          <w:jc w:val="center"/>
        </w:trPr>
        <w:tc>
          <w:tcPr>
            <w:tcW w:w="662" w:type="dxa"/>
            <w:vAlign w:val="center"/>
          </w:tcPr>
          <w:p w14:paraId="65C31E77"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5</w:t>
            </w:r>
          </w:p>
        </w:tc>
        <w:tc>
          <w:tcPr>
            <w:tcW w:w="2461" w:type="dxa"/>
            <w:vAlign w:val="center"/>
          </w:tcPr>
          <w:p w14:paraId="0974A362" w14:textId="77777777" w:rsidR="000F28EB" w:rsidRPr="009C16F9" w:rsidRDefault="000F28EB" w:rsidP="00E6614F">
            <w:pPr>
              <w:rPr>
                <w:rFonts w:cstheme="minorHAnsi"/>
                <w:bCs/>
                <w:sz w:val="24"/>
                <w:szCs w:val="24"/>
                <w:lang w:val="el-GR"/>
              </w:rPr>
            </w:pPr>
            <w:r w:rsidRPr="009C16F9">
              <w:rPr>
                <w:rFonts w:cstheme="minorHAnsi"/>
                <w:bCs/>
                <w:sz w:val="24"/>
                <w:szCs w:val="24"/>
              </w:rPr>
              <w:t>V</w:t>
            </w:r>
            <w:r w:rsidRPr="009C16F9">
              <w:rPr>
                <w:rFonts w:cstheme="minorHAnsi"/>
                <w:bCs/>
                <w:sz w:val="24"/>
                <w:szCs w:val="24"/>
                <w:lang w:val="el-GR"/>
              </w:rPr>
              <w:t xml:space="preserve"> (Κτιριακές υποδομές)</w:t>
            </w:r>
          </w:p>
        </w:tc>
        <w:tc>
          <w:tcPr>
            <w:tcW w:w="1204" w:type="dxa"/>
            <w:vAlign w:val="center"/>
          </w:tcPr>
          <w:p w14:paraId="5AACAC82"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20</w:t>
            </w:r>
          </w:p>
        </w:tc>
        <w:tc>
          <w:tcPr>
            <w:tcW w:w="2212" w:type="dxa"/>
            <w:vAlign w:val="center"/>
          </w:tcPr>
          <w:p w14:paraId="2D62E320"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44.395.822,14</w:t>
            </w:r>
          </w:p>
        </w:tc>
        <w:tc>
          <w:tcPr>
            <w:tcW w:w="3056" w:type="dxa"/>
            <w:vAlign w:val="center"/>
          </w:tcPr>
          <w:p w14:paraId="45B00BAE" w14:textId="77777777" w:rsidR="000F28EB" w:rsidRPr="009C16F9" w:rsidRDefault="000F28EB" w:rsidP="00E6614F">
            <w:pPr>
              <w:rPr>
                <w:rFonts w:cstheme="minorHAnsi"/>
                <w:bCs/>
                <w:sz w:val="24"/>
                <w:szCs w:val="24"/>
                <w:lang w:val="el-GR"/>
              </w:rPr>
            </w:pPr>
          </w:p>
        </w:tc>
      </w:tr>
      <w:tr w:rsidR="000F28EB" w:rsidRPr="004773FC" w14:paraId="753A576E" w14:textId="77777777" w:rsidTr="00E6614F">
        <w:trPr>
          <w:jc w:val="center"/>
        </w:trPr>
        <w:tc>
          <w:tcPr>
            <w:tcW w:w="662" w:type="dxa"/>
            <w:vAlign w:val="center"/>
          </w:tcPr>
          <w:p w14:paraId="244B19CD"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6</w:t>
            </w:r>
          </w:p>
        </w:tc>
        <w:tc>
          <w:tcPr>
            <w:tcW w:w="2461" w:type="dxa"/>
            <w:vAlign w:val="center"/>
          </w:tcPr>
          <w:p w14:paraId="70299481" w14:textId="77777777" w:rsidR="000F28EB" w:rsidRPr="009C16F9" w:rsidRDefault="000F28EB" w:rsidP="00E6614F">
            <w:pPr>
              <w:rPr>
                <w:rFonts w:cstheme="minorHAnsi"/>
                <w:bCs/>
                <w:sz w:val="24"/>
                <w:szCs w:val="24"/>
                <w:lang w:val="el-GR"/>
              </w:rPr>
            </w:pPr>
            <w:r w:rsidRPr="009C16F9">
              <w:rPr>
                <w:rFonts w:cstheme="minorHAnsi"/>
                <w:bCs/>
                <w:sz w:val="24"/>
                <w:szCs w:val="24"/>
              </w:rPr>
              <w:t>VI</w:t>
            </w:r>
            <w:r w:rsidRPr="009C16F9">
              <w:rPr>
                <w:rFonts w:cstheme="minorHAnsi"/>
                <w:bCs/>
                <w:sz w:val="24"/>
                <w:szCs w:val="24"/>
                <w:lang w:val="el-GR"/>
              </w:rPr>
              <w:t xml:space="preserve"> (Αντιπλημμυρικά έργα)</w:t>
            </w:r>
          </w:p>
        </w:tc>
        <w:tc>
          <w:tcPr>
            <w:tcW w:w="1204" w:type="dxa"/>
            <w:vAlign w:val="center"/>
          </w:tcPr>
          <w:p w14:paraId="0632FA33"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34</w:t>
            </w:r>
          </w:p>
        </w:tc>
        <w:tc>
          <w:tcPr>
            <w:tcW w:w="2212" w:type="dxa"/>
            <w:vAlign w:val="center"/>
          </w:tcPr>
          <w:p w14:paraId="6CB52834"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101.733.551,52</w:t>
            </w:r>
          </w:p>
        </w:tc>
        <w:tc>
          <w:tcPr>
            <w:tcW w:w="3056" w:type="dxa"/>
            <w:vAlign w:val="center"/>
          </w:tcPr>
          <w:p w14:paraId="7CD43D23" w14:textId="77777777" w:rsidR="000F28EB" w:rsidRPr="009C16F9" w:rsidRDefault="000F28EB" w:rsidP="00E6614F">
            <w:pPr>
              <w:rPr>
                <w:rFonts w:cstheme="minorHAnsi"/>
                <w:bCs/>
                <w:sz w:val="24"/>
                <w:szCs w:val="24"/>
                <w:lang w:val="el-GR"/>
              </w:rPr>
            </w:pPr>
            <w:r w:rsidRPr="009C16F9">
              <w:rPr>
                <w:rFonts w:cstheme="minorHAnsi"/>
                <w:bCs/>
                <w:sz w:val="24"/>
                <w:szCs w:val="24"/>
                <w:lang w:val="el-GR"/>
              </w:rPr>
              <w:t>4 έργα είναι έργα των ΟΤΑ Β’ βαθμού με π/υ 37.215.000 €, 16 έργα είναι έργα των ΔΕΥΑ με π/υ 30.383.018,56 €.</w:t>
            </w:r>
          </w:p>
        </w:tc>
      </w:tr>
      <w:tr w:rsidR="000F28EB" w:rsidRPr="009C16F9" w14:paraId="5D3F167D" w14:textId="77777777" w:rsidTr="00E6614F">
        <w:trPr>
          <w:jc w:val="center"/>
        </w:trPr>
        <w:tc>
          <w:tcPr>
            <w:tcW w:w="662" w:type="dxa"/>
            <w:vAlign w:val="center"/>
          </w:tcPr>
          <w:p w14:paraId="5A391091"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7</w:t>
            </w:r>
          </w:p>
        </w:tc>
        <w:tc>
          <w:tcPr>
            <w:tcW w:w="2461" w:type="dxa"/>
            <w:vAlign w:val="center"/>
          </w:tcPr>
          <w:p w14:paraId="5A3D8362" w14:textId="77777777" w:rsidR="000F28EB" w:rsidRPr="009C16F9" w:rsidRDefault="000F28EB" w:rsidP="00E6614F">
            <w:pPr>
              <w:rPr>
                <w:rFonts w:cstheme="minorHAnsi"/>
                <w:bCs/>
                <w:sz w:val="24"/>
                <w:szCs w:val="24"/>
                <w:lang w:val="el-GR"/>
              </w:rPr>
            </w:pPr>
            <w:r w:rsidRPr="009C16F9">
              <w:rPr>
                <w:rFonts w:cstheme="minorHAnsi"/>
                <w:bCs/>
                <w:sz w:val="24"/>
                <w:szCs w:val="24"/>
              </w:rPr>
              <w:t>VII</w:t>
            </w:r>
            <w:r w:rsidRPr="009C16F9">
              <w:rPr>
                <w:rFonts w:cstheme="minorHAnsi"/>
                <w:bCs/>
                <w:sz w:val="24"/>
                <w:szCs w:val="24"/>
                <w:lang w:val="el-GR"/>
              </w:rPr>
              <w:t xml:space="preserve"> (Εμβληματικά έργα ύδρευσης)</w:t>
            </w:r>
          </w:p>
        </w:tc>
        <w:tc>
          <w:tcPr>
            <w:tcW w:w="1204" w:type="dxa"/>
            <w:vAlign w:val="center"/>
          </w:tcPr>
          <w:p w14:paraId="04E63859"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6</w:t>
            </w:r>
          </w:p>
        </w:tc>
        <w:tc>
          <w:tcPr>
            <w:tcW w:w="2212" w:type="dxa"/>
            <w:vAlign w:val="center"/>
          </w:tcPr>
          <w:p w14:paraId="0F0C5779" w14:textId="77777777" w:rsidR="000F28EB" w:rsidRPr="009C16F9" w:rsidRDefault="000F28EB" w:rsidP="00E6614F">
            <w:pPr>
              <w:jc w:val="center"/>
              <w:rPr>
                <w:rFonts w:cstheme="minorHAnsi"/>
                <w:bCs/>
                <w:sz w:val="24"/>
                <w:szCs w:val="24"/>
                <w:lang w:val="el-GR"/>
              </w:rPr>
            </w:pPr>
            <w:r w:rsidRPr="009C16F9">
              <w:rPr>
                <w:rFonts w:cstheme="minorHAnsi"/>
                <w:bCs/>
                <w:sz w:val="24"/>
                <w:szCs w:val="24"/>
                <w:lang w:val="el-GR"/>
              </w:rPr>
              <w:t>95.537.560,00</w:t>
            </w:r>
          </w:p>
        </w:tc>
        <w:tc>
          <w:tcPr>
            <w:tcW w:w="3056" w:type="dxa"/>
            <w:vAlign w:val="center"/>
          </w:tcPr>
          <w:p w14:paraId="678465B7" w14:textId="77777777" w:rsidR="000F28EB" w:rsidRPr="009C16F9" w:rsidRDefault="000F28EB" w:rsidP="00E6614F">
            <w:pPr>
              <w:rPr>
                <w:rFonts w:cstheme="minorHAnsi"/>
                <w:b/>
                <w:sz w:val="24"/>
                <w:szCs w:val="24"/>
                <w:lang w:val="el-GR"/>
              </w:rPr>
            </w:pPr>
          </w:p>
        </w:tc>
      </w:tr>
      <w:tr w:rsidR="000F28EB" w:rsidRPr="009C16F9" w14:paraId="473E0F82" w14:textId="77777777" w:rsidTr="00E6614F">
        <w:trPr>
          <w:jc w:val="center"/>
        </w:trPr>
        <w:tc>
          <w:tcPr>
            <w:tcW w:w="662" w:type="dxa"/>
            <w:vAlign w:val="center"/>
          </w:tcPr>
          <w:p w14:paraId="584EA0A9" w14:textId="77777777" w:rsidR="000F28EB" w:rsidRPr="009C16F9" w:rsidRDefault="000F28EB" w:rsidP="00E6614F">
            <w:pPr>
              <w:jc w:val="center"/>
              <w:rPr>
                <w:rFonts w:cstheme="minorHAnsi"/>
                <w:b/>
                <w:sz w:val="24"/>
                <w:szCs w:val="24"/>
                <w:lang w:val="el-GR"/>
              </w:rPr>
            </w:pPr>
          </w:p>
        </w:tc>
        <w:tc>
          <w:tcPr>
            <w:tcW w:w="2461" w:type="dxa"/>
            <w:vAlign w:val="center"/>
          </w:tcPr>
          <w:p w14:paraId="5B7658C5" w14:textId="77777777" w:rsidR="000F28EB" w:rsidRPr="009C16F9" w:rsidRDefault="000F28EB" w:rsidP="00E6614F">
            <w:pPr>
              <w:jc w:val="right"/>
              <w:rPr>
                <w:rFonts w:cstheme="minorHAnsi"/>
                <w:b/>
                <w:sz w:val="24"/>
                <w:szCs w:val="24"/>
                <w:lang w:val="el-GR"/>
              </w:rPr>
            </w:pPr>
            <w:r w:rsidRPr="009C16F9">
              <w:rPr>
                <w:rFonts w:cstheme="minorHAnsi"/>
                <w:b/>
                <w:sz w:val="24"/>
                <w:szCs w:val="24"/>
                <w:lang w:val="el-GR"/>
              </w:rPr>
              <w:t>ΣΥΝΟΛΟ</w:t>
            </w:r>
          </w:p>
        </w:tc>
        <w:tc>
          <w:tcPr>
            <w:tcW w:w="1204" w:type="dxa"/>
            <w:vAlign w:val="center"/>
          </w:tcPr>
          <w:p w14:paraId="6638748D" w14:textId="77777777" w:rsidR="000F28EB" w:rsidRPr="009C16F9" w:rsidRDefault="000F28EB" w:rsidP="00E6614F">
            <w:pPr>
              <w:jc w:val="center"/>
              <w:rPr>
                <w:rFonts w:cstheme="minorHAnsi"/>
                <w:b/>
                <w:sz w:val="24"/>
                <w:szCs w:val="24"/>
                <w:lang w:val="el-GR"/>
              </w:rPr>
            </w:pPr>
            <w:r w:rsidRPr="009C16F9">
              <w:rPr>
                <w:rFonts w:cstheme="minorHAnsi"/>
                <w:b/>
                <w:sz w:val="24"/>
                <w:szCs w:val="24"/>
                <w:lang w:val="el-GR"/>
              </w:rPr>
              <w:t>502</w:t>
            </w:r>
          </w:p>
        </w:tc>
        <w:tc>
          <w:tcPr>
            <w:tcW w:w="2212" w:type="dxa"/>
            <w:vAlign w:val="center"/>
          </w:tcPr>
          <w:p w14:paraId="1EDC3026" w14:textId="77777777" w:rsidR="000F28EB" w:rsidRPr="009C16F9" w:rsidRDefault="000F28EB" w:rsidP="00E6614F">
            <w:pPr>
              <w:jc w:val="center"/>
              <w:rPr>
                <w:rFonts w:eastAsiaTheme="minorEastAsia" w:cstheme="minorHAnsi"/>
                <w:b/>
                <w:sz w:val="24"/>
                <w:szCs w:val="24"/>
              </w:rPr>
            </w:pPr>
            <w:r w:rsidRPr="009C16F9">
              <w:rPr>
                <w:rFonts w:eastAsiaTheme="minorEastAsia" w:cstheme="minorHAnsi"/>
                <w:b/>
                <w:sz w:val="24"/>
                <w:szCs w:val="24"/>
              </w:rPr>
              <w:t>1.236.438.817,73</w:t>
            </w:r>
          </w:p>
        </w:tc>
        <w:tc>
          <w:tcPr>
            <w:tcW w:w="3056" w:type="dxa"/>
            <w:vAlign w:val="center"/>
          </w:tcPr>
          <w:p w14:paraId="002FDD01" w14:textId="77777777" w:rsidR="000F28EB" w:rsidRPr="009C16F9" w:rsidRDefault="000F28EB" w:rsidP="00E6614F">
            <w:pPr>
              <w:jc w:val="center"/>
              <w:rPr>
                <w:rFonts w:cstheme="minorHAnsi"/>
                <w:b/>
                <w:sz w:val="24"/>
                <w:szCs w:val="24"/>
                <w:lang w:val="el-GR"/>
              </w:rPr>
            </w:pPr>
          </w:p>
        </w:tc>
      </w:tr>
    </w:tbl>
    <w:p w14:paraId="32E5C525" w14:textId="77777777" w:rsidR="000F28EB" w:rsidRPr="009C16F9" w:rsidRDefault="000F28EB" w:rsidP="000F28EB">
      <w:pPr>
        <w:spacing w:line="276" w:lineRule="auto"/>
        <w:jc w:val="both"/>
        <w:rPr>
          <w:rFonts w:cstheme="minorHAnsi"/>
          <w:sz w:val="24"/>
          <w:szCs w:val="24"/>
          <w:lang w:val="el-GR"/>
        </w:rPr>
      </w:pPr>
    </w:p>
    <w:p w14:paraId="33C8F947" w14:textId="77777777" w:rsidR="009C16F9" w:rsidRPr="009C16F9" w:rsidRDefault="00D8560C" w:rsidP="009C16F9">
      <w:pPr>
        <w:spacing w:line="276" w:lineRule="auto"/>
        <w:jc w:val="both"/>
        <w:rPr>
          <w:rFonts w:cstheme="minorHAnsi"/>
          <w:sz w:val="24"/>
          <w:szCs w:val="24"/>
          <w:lang w:val="el-GR"/>
        </w:rPr>
      </w:pPr>
      <w:r>
        <w:rPr>
          <w:rFonts w:cstheme="minorHAnsi"/>
          <w:sz w:val="24"/>
          <w:szCs w:val="24"/>
          <w:lang w:val="el-GR"/>
        </w:rPr>
        <w:lastRenderedPageBreak/>
        <w:t xml:space="preserve">Πέραν των </w:t>
      </w:r>
      <w:r w:rsidR="00874EC0">
        <w:rPr>
          <w:rFonts w:cstheme="minorHAnsi"/>
          <w:sz w:val="24"/>
          <w:szCs w:val="24"/>
          <w:lang w:val="el-GR"/>
        </w:rPr>
        <w:t xml:space="preserve">εντάξεων, </w:t>
      </w:r>
      <w:r w:rsidR="009C16F9" w:rsidRPr="009C16F9">
        <w:rPr>
          <w:rFonts w:cstheme="minorHAnsi"/>
          <w:sz w:val="24"/>
          <w:szCs w:val="24"/>
          <w:lang w:val="el-GR"/>
        </w:rPr>
        <w:t xml:space="preserve">το Πρόγραμμα αριθμεί </w:t>
      </w:r>
      <w:r w:rsidR="00874EC0">
        <w:rPr>
          <w:rFonts w:cstheme="minorHAnsi"/>
          <w:sz w:val="24"/>
          <w:szCs w:val="24"/>
          <w:lang w:val="el-GR"/>
        </w:rPr>
        <w:t xml:space="preserve">πλέον </w:t>
      </w:r>
      <w:r w:rsidR="00CA4D63">
        <w:rPr>
          <w:rFonts w:cstheme="minorHAnsi"/>
          <w:b/>
          <w:bCs/>
          <w:sz w:val="24"/>
          <w:szCs w:val="24"/>
          <w:lang w:val="el-GR"/>
        </w:rPr>
        <w:t>των 100</w:t>
      </w:r>
      <w:r w:rsidR="009C16F9" w:rsidRPr="009C16F9">
        <w:rPr>
          <w:rFonts w:cstheme="minorHAnsi"/>
          <w:b/>
          <w:bCs/>
          <w:sz w:val="24"/>
          <w:szCs w:val="24"/>
          <w:lang w:val="el-GR"/>
        </w:rPr>
        <w:t xml:space="preserve"> </w:t>
      </w:r>
      <w:r w:rsidRPr="009C16F9">
        <w:rPr>
          <w:rFonts w:cstheme="minorHAnsi"/>
          <w:b/>
          <w:bCs/>
          <w:sz w:val="24"/>
          <w:szCs w:val="24"/>
          <w:lang w:val="el-GR"/>
        </w:rPr>
        <w:t>δημοπρατ</w:t>
      </w:r>
      <w:r w:rsidR="00CA4D63">
        <w:rPr>
          <w:rFonts w:cstheme="minorHAnsi"/>
          <w:b/>
          <w:bCs/>
          <w:sz w:val="24"/>
          <w:szCs w:val="24"/>
          <w:lang w:val="el-GR"/>
        </w:rPr>
        <w:t>ημένων έργων</w:t>
      </w:r>
      <w:r w:rsidRPr="009C16F9">
        <w:rPr>
          <w:rFonts w:cstheme="minorHAnsi"/>
          <w:b/>
          <w:bCs/>
          <w:sz w:val="24"/>
          <w:szCs w:val="24"/>
          <w:lang w:val="el-GR"/>
        </w:rPr>
        <w:t xml:space="preserve"> </w:t>
      </w:r>
      <w:r w:rsidR="009C16F9" w:rsidRPr="009C16F9">
        <w:rPr>
          <w:rFonts w:cstheme="minorHAnsi"/>
          <w:b/>
          <w:bCs/>
          <w:sz w:val="24"/>
          <w:szCs w:val="24"/>
          <w:lang w:val="el-GR"/>
        </w:rPr>
        <w:t xml:space="preserve">και </w:t>
      </w:r>
      <w:r w:rsidR="00CA4D63">
        <w:rPr>
          <w:rFonts w:cstheme="minorHAnsi"/>
          <w:b/>
          <w:bCs/>
          <w:sz w:val="24"/>
          <w:szCs w:val="24"/>
          <w:lang w:val="el-GR"/>
        </w:rPr>
        <w:t>20</w:t>
      </w:r>
      <w:r w:rsidR="009C16F9" w:rsidRPr="009C16F9">
        <w:rPr>
          <w:rFonts w:cstheme="minorHAnsi"/>
          <w:b/>
          <w:bCs/>
          <w:sz w:val="24"/>
          <w:szCs w:val="24"/>
          <w:lang w:val="el-GR"/>
        </w:rPr>
        <w:t xml:space="preserve"> </w:t>
      </w:r>
      <w:r w:rsidR="00CA4D63">
        <w:rPr>
          <w:rFonts w:cstheme="minorHAnsi"/>
          <w:b/>
          <w:bCs/>
          <w:sz w:val="24"/>
          <w:szCs w:val="24"/>
          <w:lang w:val="el-GR"/>
        </w:rPr>
        <w:t>συμβάσεων</w:t>
      </w:r>
      <w:r w:rsidR="009C16F9" w:rsidRPr="009C16F9">
        <w:rPr>
          <w:rFonts w:cstheme="minorHAnsi"/>
          <w:sz w:val="24"/>
          <w:szCs w:val="24"/>
          <w:lang w:val="el-GR"/>
        </w:rPr>
        <w:t>. Με βάση δε</w:t>
      </w:r>
      <w:r>
        <w:rPr>
          <w:rFonts w:cstheme="minorHAnsi"/>
          <w:sz w:val="24"/>
          <w:szCs w:val="24"/>
          <w:lang w:val="el-GR"/>
        </w:rPr>
        <w:t>,</w:t>
      </w:r>
      <w:r w:rsidR="009C16F9" w:rsidRPr="009C16F9">
        <w:rPr>
          <w:rFonts w:cstheme="minorHAnsi"/>
          <w:sz w:val="24"/>
          <w:szCs w:val="24"/>
          <w:lang w:val="el-GR"/>
        </w:rPr>
        <w:t xml:space="preserve"> τον προγραμματισμό ενεργειών των Δικαιούχων (όπως έχει αποτυπωθεί σε σχετική αλληλογραφία μεταξύ της ΜΟΔ ΑΕ και των Δικαιούχων), </w:t>
      </w:r>
      <w:r>
        <w:rPr>
          <w:rFonts w:cstheme="minorHAnsi"/>
          <w:sz w:val="24"/>
          <w:szCs w:val="24"/>
          <w:lang w:val="el-GR"/>
        </w:rPr>
        <w:t xml:space="preserve">αναμένεται </w:t>
      </w:r>
      <w:r w:rsidR="009C16F9" w:rsidRPr="009C16F9">
        <w:rPr>
          <w:rFonts w:cstheme="minorHAnsi"/>
          <w:sz w:val="24"/>
          <w:szCs w:val="24"/>
          <w:lang w:val="el-GR"/>
        </w:rPr>
        <w:t xml:space="preserve">έως </w:t>
      </w:r>
      <w:r w:rsidR="00CA4D63">
        <w:rPr>
          <w:rFonts w:cstheme="minorHAnsi"/>
          <w:sz w:val="24"/>
          <w:szCs w:val="24"/>
          <w:lang w:val="el-GR"/>
        </w:rPr>
        <w:t>τις αρχές Νοεμβρίου</w:t>
      </w:r>
      <w:r w:rsidR="009C16F9" w:rsidRPr="009C16F9">
        <w:rPr>
          <w:rFonts w:cstheme="minorHAnsi"/>
          <w:sz w:val="24"/>
          <w:szCs w:val="24"/>
          <w:lang w:val="el-GR"/>
        </w:rPr>
        <w:t xml:space="preserve"> του 2019 να δημοπρατηθούν πάνω από </w:t>
      </w:r>
      <w:r w:rsidR="00CA4D63">
        <w:rPr>
          <w:rFonts w:cstheme="minorHAnsi"/>
          <w:sz w:val="24"/>
          <w:szCs w:val="24"/>
          <w:lang w:val="el-GR"/>
        </w:rPr>
        <w:t>3</w:t>
      </w:r>
      <w:r w:rsidR="009C16F9" w:rsidRPr="009C16F9">
        <w:rPr>
          <w:rFonts w:cstheme="minorHAnsi"/>
          <w:sz w:val="24"/>
          <w:szCs w:val="24"/>
          <w:lang w:val="el-GR"/>
        </w:rPr>
        <w:t xml:space="preserve">0 </w:t>
      </w:r>
      <w:r>
        <w:rPr>
          <w:rFonts w:cstheme="minorHAnsi"/>
          <w:sz w:val="24"/>
          <w:szCs w:val="24"/>
          <w:lang w:val="el-GR"/>
        </w:rPr>
        <w:t xml:space="preserve">επιπλέον </w:t>
      </w:r>
      <w:r w:rsidR="009C16F9" w:rsidRPr="009C16F9">
        <w:rPr>
          <w:rFonts w:cstheme="minorHAnsi"/>
          <w:sz w:val="24"/>
          <w:szCs w:val="24"/>
          <w:lang w:val="el-GR"/>
        </w:rPr>
        <w:t xml:space="preserve">έργα. </w:t>
      </w:r>
    </w:p>
    <w:p w14:paraId="400FF4A8" w14:textId="77777777" w:rsidR="00874EC0" w:rsidRDefault="00874EC0" w:rsidP="009C16F9">
      <w:pPr>
        <w:spacing w:line="276" w:lineRule="auto"/>
        <w:jc w:val="both"/>
        <w:rPr>
          <w:rFonts w:cstheme="minorHAnsi"/>
          <w:b/>
          <w:sz w:val="24"/>
          <w:szCs w:val="24"/>
          <w:u w:val="single"/>
          <w:lang w:val="el-GR"/>
        </w:rPr>
      </w:pPr>
    </w:p>
    <w:p w14:paraId="3F299F08" w14:textId="77777777" w:rsidR="00874EC0" w:rsidRDefault="00874EC0" w:rsidP="009C16F9">
      <w:pPr>
        <w:spacing w:line="276" w:lineRule="auto"/>
        <w:jc w:val="both"/>
        <w:rPr>
          <w:rFonts w:cstheme="minorHAnsi"/>
          <w:b/>
          <w:sz w:val="24"/>
          <w:szCs w:val="24"/>
          <w:u w:val="single"/>
          <w:lang w:val="el-GR"/>
        </w:rPr>
      </w:pPr>
    </w:p>
    <w:p w14:paraId="3AC6D31E" w14:textId="77777777" w:rsidR="009C16F9" w:rsidRPr="00874EC0" w:rsidRDefault="00874EC0" w:rsidP="009C16F9">
      <w:pPr>
        <w:spacing w:line="276" w:lineRule="auto"/>
        <w:jc w:val="both"/>
        <w:rPr>
          <w:rFonts w:cstheme="minorHAnsi"/>
          <w:b/>
          <w:sz w:val="24"/>
          <w:szCs w:val="24"/>
          <w:u w:val="single"/>
          <w:lang w:val="el-GR"/>
        </w:rPr>
      </w:pPr>
      <w:r w:rsidRPr="00874EC0">
        <w:rPr>
          <w:rFonts w:cstheme="minorHAnsi"/>
          <w:b/>
          <w:sz w:val="24"/>
          <w:szCs w:val="24"/>
          <w:u w:val="single"/>
          <w:lang w:val="el-GR"/>
        </w:rPr>
        <w:t>Σ</w:t>
      </w:r>
      <w:r w:rsidR="009C16F9" w:rsidRPr="00874EC0">
        <w:rPr>
          <w:rFonts w:cstheme="minorHAnsi"/>
          <w:b/>
          <w:sz w:val="24"/>
          <w:szCs w:val="24"/>
          <w:u w:val="single"/>
          <w:lang w:val="el-GR"/>
        </w:rPr>
        <w:t xml:space="preserve">υνοπτική παρουσίαση των ιδιαίτερων χαρακτηριστικών και συγκεκριμένων στοιχείων εξέλιξης </w:t>
      </w:r>
      <w:r w:rsidRPr="00874EC0">
        <w:rPr>
          <w:rFonts w:cstheme="minorHAnsi"/>
          <w:b/>
          <w:sz w:val="24"/>
          <w:szCs w:val="24"/>
          <w:u w:val="single"/>
          <w:lang w:val="el-GR"/>
        </w:rPr>
        <w:t>του Προγράμματος.</w:t>
      </w:r>
    </w:p>
    <w:p w14:paraId="789DFE3C" w14:textId="77777777" w:rsidR="00874EC0" w:rsidRDefault="00874EC0" w:rsidP="009C16F9">
      <w:pPr>
        <w:spacing w:line="276" w:lineRule="auto"/>
        <w:jc w:val="both"/>
        <w:rPr>
          <w:rFonts w:cstheme="minorHAnsi"/>
          <w:sz w:val="24"/>
          <w:szCs w:val="24"/>
          <w:lang w:val="el-GR"/>
        </w:rPr>
      </w:pPr>
    </w:p>
    <w:p w14:paraId="602F49EB" w14:textId="77777777" w:rsidR="00874EC0" w:rsidRDefault="00874EC0" w:rsidP="009C16F9">
      <w:pPr>
        <w:pStyle w:val="a"/>
        <w:numPr>
          <w:ilvl w:val="0"/>
          <w:numId w:val="3"/>
        </w:numPr>
        <w:tabs>
          <w:tab w:val="left" w:pos="459"/>
        </w:tabs>
        <w:spacing w:line="276" w:lineRule="auto"/>
        <w:rPr>
          <w:rFonts w:asciiTheme="minorHAnsi" w:hAnsiTheme="minorHAnsi" w:cstheme="minorHAnsi"/>
          <w:sz w:val="24"/>
          <w:szCs w:val="24"/>
          <w:lang w:val="el-GR"/>
        </w:rPr>
      </w:pPr>
      <w:r w:rsidRPr="00874EC0">
        <w:rPr>
          <w:rFonts w:asciiTheme="minorHAnsi" w:eastAsiaTheme="minorHAnsi" w:hAnsiTheme="minorHAnsi" w:cstheme="minorHAnsi"/>
          <w:sz w:val="24"/>
          <w:szCs w:val="24"/>
          <w:lang w:val="el-GR" w:eastAsia="en-US"/>
        </w:rPr>
        <w:t>Ο</w:t>
      </w:r>
      <w:r w:rsidRPr="00874EC0">
        <w:rPr>
          <w:rFonts w:asciiTheme="minorHAnsi" w:hAnsiTheme="minorHAnsi" w:cstheme="minorHAnsi"/>
          <w:sz w:val="24"/>
          <w:szCs w:val="24"/>
          <w:lang w:val="el-GR"/>
        </w:rPr>
        <w:t xml:space="preserve">ι δύο πρώτες προσκλήσεις (που αφορούν σε έργα ύδρευσης και αποχέτευσης) εκδόθηκαν στις 10 Μαΐου 2018. Για την έκδοσή τους υπήρξε στενή συνεργασία με τους θεσμικούς εκπροσώπους των Δικαιούχων (π.χ. ΕΔΕΥΑ), ενώ από την ημέρα έκδοσής τους προβλέφθηκε χρονικό διάστημα ενός μηνός έως την έναρξη υποβολών (15 Ιουνίου 2018) για την καλύτερη προετοιμασία των Δικαιούχων (κατά το διάστημα αυτό απαντήθηκαν πάνω από 100 ερωτήσεις υποψηφίων με την ανάρτηση των απαντήσεων στον σχετικό </w:t>
      </w:r>
      <w:proofErr w:type="spellStart"/>
      <w:r w:rsidRPr="00874EC0">
        <w:rPr>
          <w:rFonts w:asciiTheme="minorHAnsi" w:hAnsiTheme="minorHAnsi" w:cstheme="minorHAnsi"/>
          <w:sz w:val="24"/>
          <w:szCs w:val="24"/>
          <w:lang w:val="el-GR"/>
        </w:rPr>
        <w:t>ιστότοπο</w:t>
      </w:r>
      <w:proofErr w:type="spellEnd"/>
      <w:r w:rsidRPr="00874EC0">
        <w:rPr>
          <w:rFonts w:asciiTheme="minorHAnsi" w:hAnsiTheme="minorHAnsi" w:cstheme="minorHAnsi"/>
          <w:sz w:val="24"/>
          <w:szCs w:val="24"/>
          <w:lang w:val="el-GR"/>
        </w:rPr>
        <w:t xml:space="preserve"> του ΥΠΕΣ). </w:t>
      </w:r>
    </w:p>
    <w:p w14:paraId="11339B9C" w14:textId="77777777" w:rsidR="00874EC0" w:rsidRPr="00874EC0" w:rsidRDefault="00874EC0" w:rsidP="009C16F9">
      <w:pPr>
        <w:pStyle w:val="a"/>
        <w:numPr>
          <w:ilvl w:val="0"/>
          <w:numId w:val="3"/>
        </w:numPr>
        <w:tabs>
          <w:tab w:val="left" w:pos="459"/>
        </w:tabs>
        <w:spacing w:line="276" w:lineRule="auto"/>
        <w:rPr>
          <w:rFonts w:asciiTheme="minorHAnsi" w:hAnsiTheme="minorHAnsi" w:cstheme="minorHAnsi"/>
          <w:sz w:val="24"/>
          <w:szCs w:val="24"/>
          <w:lang w:val="el-GR"/>
        </w:rPr>
      </w:pPr>
      <w:r w:rsidRPr="00874EC0">
        <w:rPr>
          <w:rFonts w:asciiTheme="minorHAnsi" w:hAnsiTheme="minorHAnsi" w:cstheme="minorHAnsi"/>
          <w:sz w:val="24"/>
          <w:szCs w:val="24"/>
          <w:lang w:val="el-GR"/>
        </w:rPr>
        <w:t xml:space="preserve">Η διαδικασία αυτή ακολουθήθηκε και στις υπόλοιπες προσκλήσεις και είναι ένα από τα χαρακτηριστικά επιτυχίας του Προγράμματος δεδομένης της κατάλληλης ενημέρωσης και της διάχυσης της πληροφορίας, της δυνατότητας προετοιμασίας και της υποστήριξης/καθοδήγησης των Δικαιούχων.  </w:t>
      </w:r>
    </w:p>
    <w:p w14:paraId="03E55DFB" w14:textId="77777777" w:rsidR="009C16F9" w:rsidRPr="009C16F9" w:rsidRDefault="009C16F9" w:rsidP="009C16F9">
      <w:pPr>
        <w:pStyle w:val="ListParagraph"/>
        <w:numPr>
          <w:ilvl w:val="0"/>
          <w:numId w:val="1"/>
        </w:numPr>
        <w:ind w:left="360"/>
        <w:jc w:val="both"/>
        <w:rPr>
          <w:rFonts w:cstheme="minorHAnsi"/>
          <w:sz w:val="24"/>
          <w:szCs w:val="24"/>
          <w:lang w:val="el-GR"/>
        </w:rPr>
      </w:pPr>
      <w:r w:rsidRPr="009C16F9">
        <w:rPr>
          <w:rFonts w:cstheme="minorHAnsi"/>
          <w:sz w:val="24"/>
          <w:szCs w:val="24"/>
          <w:lang w:val="el-GR"/>
        </w:rPr>
        <w:t>Τα κριτήρια αξιολόγησης και ένταξης έργων στο</w:t>
      </w:r>
      <w:r w:rsidR="00874EC0">
        <w:rPr>
          <w:rFonts w:cstheme="minorHAnsi"/>
          <w:sz w:val="24"/>
          <w:szCs w:val="24"/>
          <w:lang w:val="el-GR"/>
        </w:rPr>
        <w:t>ν</w:t>
      </w:r>
      <w:r w:rsidRPr="009C16F9">
        <w:rPr>
          <w:rFonts w:cstheme="minorHAnsi"/>
          <w:sz w:val="24"/>
          <w:szCs w:val="24"/>
          <w:lang w:val="el-GR"/>
        </w:rPr>
        <w:t xml:space="preserve"> </w:t>
      </w:r>
      <w:r w:rsidR="00874EC0">
        <w:rPr>
          <w:rFonts w:cstheme="minorHAnsi"/>
          <w:sz w:val="24"/>
          <w:szCs w:val="24"/>
          <w:lang w:val="el-GR"/>
        </w:rPr>
        <w:t>«</w:t>
      </w:r>
      <w:proofErr w:type="spellStart"/>
      <w:r w:rsidRPr="009C16F9">
        <w:rPr>
          <w:rFonts w:cstheme="minorHAnsi"/>
          <w:sz w:val="24"/>
          <w:szCs w:val="24"/>
          <w:lang w:val="el-GR"/>
        </w:rPr>
        <w:t>ΦιλόΔημο</w:t>
      </w:r>
      <w:proofErr w:type="spellEnd"/>
      <w:r w:rsidR="00874EC0">
        <w:rPr>
          <w:rFonts w:cstheme="minorHAnsi"/>
          <w:sz w:val="24"/>
          <w:szCs w:val="24"/>
          <w:lang w:val="el-GR"/>
        </w:rPr>
        <w:t>»</w:t>
      </w:r>
      <w:r w:rsidRPr="009C16F9">
        <w:rPr>
          <w:rFonts w:cstheme="minorHAnsi"/>
          <w:sz w:val="24"/>
          <w:szCs w:val="24"/>
          <w:lang w:val="el-GR"/>
        </w:rPr>
        <w:t xml:space="preserve"> είναι </w:t>
      </w:r>
      <w:r w:rsidR="00874EC0">
        <w:rPr>
          <w:rFonts w:cstheme="minorHAnsi"/>
          <w:sz w:val="24"/>
          <w:szCs w:val="24"/>
          <w:lang w:val="el-GR"/>
        </w:rPr>
        <w:t>αντίστοιχα</w:t>
      </w:r>
      <w:r w:rsidRPr="009C16F9">
        <w:rPr>
          <w:rFonts w:cstheme="minorHAnsi"/>
          <w:sz w:val="24"/>
          <w:szCs w:val="24"/>
          <w:lang w:val="el-GR"/>
        </w:rPr>
        <w:t xml:space="preserve"> με αυτά του ΕΣΠΑ. </w:t>
      </w:r>
      <w:r w:rsidR="00874EC0">
        <w:rPr>
          <w:rFonts w:cstheme="minorHAnsi"/>
          <w:sz w:val="24"/>
          <w:szCs w:val="24"/>
          <w:lang w:val="el-GR"/>
        </w:rPr>
        <w:t xml:space="preserve"> </w:t>
      </w:r>
    </w:p>
    <w:p w14:paraId="11532367" w14:textId="77777777" w:rsidR="009C16F9" w:rsidRPr="009C16F9" w:rsidRDefault="009C16F9" w:rsidP="009C16F9">
      <w:pPr>
        <w:pStyle w:val="ListParagraph"/>
        <w:numPr>
          <w:ilvl w:val="0"/>
          <w:numId w:val="1"/>
        </w:numPr>
        <w:ind w:left="360"/>
        <w:jc w:val="both"/>
        <w:rPr>
          <w:rFonts w:cstheme="minorHAnsi"/>
          <w:sz w:val="24"/>
          <w:szCs w:val="24"/>
          <w:lang w:val="el-GR"/>
        </w:rPr>
      </w:pPr>
      <w:r w:rsidRPr="009C16F9">
        <w:rPr>
          <w:rFonts w:cstheme="minorHAnsi"/>
          <w:sz w:val="24"/>
          <w:szCs w:val="24"/>
          <w:lang w:val="el-GR"/>
        </w:rPr>
        <w:t xml:space="preserve">Στο Πρόγραμμα εντάσσονται έργα που διαθέτουν μελέτες τελικού σταδίου αρμοδίως εγκεκριμένες και θεωρημένες και όλες τις απαραίτητες </w:t>
      </w:r>
      <w:proofErr w:type="spellStart"/>
      <w:r w:rsidRPr="009C16F9">
        <w:rPr>
          <w:rFonts w:cstheme="minorHAnsi"/>
          <w:sz w:val="24"/>
          <w:szCs w:val="24"/>
          <w:lang w:val="el-GR"/>
        </w:rPr>
        <w:t>συνοδές</w:t>
      </w:r>
      <w:proofErr w:type="spellEnd"/>
      <w:r w:rsidRPr="009C16F9">
        <w:rPr>
          <w:rFonts w:cstheme="minorHAnsi"/>
          <w:sz w:val="24"/>
          <w:szCs w:val="24"/>
          <w:lang w:val="el-GR"/>
        </w:rPr>
        <w:t xml:space="preserve"> </w:t>
      </w:r>
      <w:proofErr w:type="spellStart"/>
      <w:r w:rsidRPr="009C16F9">
        <w:rPr>
          <w:rFonts w:cstheme="minorHAnsi"/>
          <w:sz w:val="24"/>
          <w:szCs w:val="24"/>
          <w:lang w:val="el-GR"/>
        </w:rPr>
        <w:t>αδειοδοτήσεις</w:t>
      </w:r>
      <w:proofErr w:type="spellEnd"/>
      <w:r w:rsidRPr="009C16F9">
        <w:rPr>
          <w:rFonts w:cstheme="minorHAnsi"/>
          <w:sz w:val="24"/>
          <w:szCs w:val="24"/>
          <w:lang w:val="el-GR"/>
        </w:rPr>
        <w:t>.</w:t>
      </w:r>
      <w:r w:rsidR="00874EC0">
        <w:rPr>
          <w:rFonts w:cstheme="minorHAnsi"/>
          <w:sz w:val="24"/>
          <w:szCs w:val="24"/>
          <w:lang w:val="el-GR"/>
        </w:rPr>
        <w:t xml:space="preserve"> Επομένως, πρόκειται για έργα ώριμα για υλοποίηση. </w:t>
      </w:r>
    </w:p>
    <w:p w14:paraId="3D81E941" w14:textId="77777777" w:rsidR="009C16F9" w:rsidRPr="00B611B7" w:rsidRDefault="009C16F9" w:rsidP="009C16F9">
      <w:pPr>
        <w:pStyle w:val="ListParagraph"/>
        <w:numPr>
          <w:ilvl w:val="0"/>
          <w:numId w:val="1"/>
        </w:numPr>
        <w:ind w:left="360"/>
        <w:jc w:val="both"/>
        <w:rPr>
          <w:rFonts w:cstheme="minorHAnsi"/>
          <w:sz w:val="24"/>
          <w:szCs w:val="24"/>
          <w:lang w:val="el-GR"/>
        </w:rPr>
      </w:pPr>
      <w:r w:rsidRPr="009C16F9">
        <w:rPr>
          <w:rFonts w:cstheme="minorHAnsi"/>
          <w:sz w:val="24"/>
          <w:szCs w:val="24"/>
          <w:lang w:val="el-GR"/>
        </w:rPr>
        <w:t xml:space="preserve">Εντάχθηκαν έργα τα οποία δεν </w:t>
      </w:r>
      <w:r w:rsidR="00874EC0">
        <w:rPr>
          <w:rFonts w:cstheme="minorHAnsi"/>
          <w:sz w:val="24"/>
          <w:szCs w:val="24"/>
          <w:lang w:val="el-GR"/>
        </w:rPr>
        <w:t>μπορούσαν να ενταχθούν</w:t>
      </w:r>
      <w:r w:rsidRPr="009C16F9">
        <w:rPr>
          <w:rFonts w:cstheme="minorHAnsi"/>
          <w:sz w:val="24"/>
          <w:szCs w:val="24"/>
          <w:lang w:val="el-GR"/>
        </w:rPr>
        <w:t xml:space="preserve"> στο ΕΣΠΑ (λόγω περιορισμένων πόρων από το ΕΤΠΑ στα 13 ΠΕΠ της χώρας καθώς και του Ταμείου Συνοχής). Σε αυτό το επίπεδο ο </w:t>
      </w:r>
      <w:r w:rsidR="00874EC0">
        <w:rPr>
          <w:rFonts w:cstheme="minorHAnsi"/>
          <w:sz w:val="24"/>
          <w:szCs w:val="24"/>
          <w:lang w:val="el-GR"/>
        </w:rPr>
        <w:t>«</w:t>
      </w:r>
      <w:proofErr w:type="spellStart"/>
      <w:r w:rsidRPr="009C16F9">
        <w:rPr>
          <w:rFonts w:cstheme="minorHAnsi"/>
          <w:sz w:val="24"/>
          <w:szCs w:val="24"/>
          <w:lang w:val="el-GR"/>
        </w:rPr>
        <w:t>ΦιλόΔημος</w:t>
      </w:r>
      <w:proofErr w:type="spellEnd"/>
      <w:r w:rsidR="00874EC0">
        <w:rPr>
          <w:rFonts w:cstheme="minorHAnsi"/>
          <w:sz w:val="24"/>
          <w:szCs w:val="24"/>
          <w:lang w:val="el-GR"/>
        </w:rPr>
        <w:t>»</w:t>
      </w:r>
      <w:r w:rsidRPr="009C16F9">
        <w:rPr>
          <w:rFonts w:cstheme="minorHAnsi"/>
          <w:sz w:val="24"/>
          <w:szCs w:val="24"/>
          <w:lang w:val="el-GR"/>
        </w:rPr>
        <w:t xml:space="preserve"> λειτούργησε και λειτουργεί με ένα πολύ πετυχημένο </w:t>
      </w:r>
      <w:r w:rsidR="00874EC0">
        <w:rPr>
          <w:rFonts w:cstheme="minorHAnsi"/>
          <w:sz w:val="24"/>
          <w:szCs w:val="24"/>
          <w:lang w:val="el-GR"/>
        </w:rPr>
        <w:t xml:space="preserve">και </w:t>
      </w:r>
      <w:proofErr w:type="spellStart"/>
      <w:r w:rsidR="00874EC0">
        <w:rPr>
          <w:rFonts w:cstheme="minorHAnsi"/>
          <w:sz w:val="24"/>
          <w:szCs w:val="24"/>
          <w:lang w:val="el-GR"/>
        </w:rPr>
        <w:t>στοχευμένο</w:t>
      </w:r>
      <w:proofErr w:type="spellEnd"/>
      <w:r w:rsidR="00874EC0">
        <w:rPr>
          <w:rFonts w:cstheme="minorHAnsi"/>
          <w:sz w:val="24"/>
          <w:szCs w:val="24"/>
          <w:lang w:val="el-GR"/>
        </w:rPr>
        <w:t xml:space="preserve"> </w:t>
      </w:r>
      <w:r w:rsidRPr="009C16F9">
        <w:rPr>
          <w:rFonts w:cstheme="minorHAnsi"/>
          <w:sz w:val="24"/>
          <w:szCs w:val="24"/>
          <w:lang w:val="el-GR"/>
        </w:rPr>
        <w:t xml:space="preserve">συμπληρωματικό τρόπο. Καθώς έργα ενταγμένα στα ΠΕΠ θα </w:t>
      </w:r>
      <w:proofErr w:type="spellStart"/>
      <w:r w:rsidRPr="009C16F9">
        <w:rPr>
          <w:rFonts w:cstheme="minorHAnsi"/>
          <w:sz w:val="24"/>
          <w:szCs w:val="24"/>
          <w:lang w:val="el-GR"/>
        </w:rPr>
        <w:t>συμβασιοποιηθούν</w:t>
      </w:r>
      <w:proofErr w:type="spellEnd"/>
      <w:r w:rsidRPr="009C16F9">
        <w:rPr>
          <w:rFonts w:cstheme="minorHAnsi"/>
          <w:sz w:val="24"/>
          <w:szCs w:val="24"/>
          <w:lang w:val="el-GR"/>
        </w:rPr>
        <w:t xml:space="preserve">, θα προκύψει σταδιακά ‘χώρος’ (από το προϊόν των εκπτώσεων) </w:t>
      </w:r>
      <w:r w:rsidRPr="00B611B7">
        <w:rPr>
          <w:rFonts w:cstheme="minorHAnsi"/>
          <w:bCs/>
          <w:sz w:val="24"/>
          <w:szCs w:val="24"/>
          <w:lang w:val="el-GR"/>
        </w:rPr>
        <w:t xml:space="preserve">ώστε να καταστεί δυνατή η </w:t>
      </w:r>
      <w:r w:rsidR="00874EC0" w:rsidRPr="00B611B7">
        <w:rPr>
          <w:rFonts w:cstheme="minorHAnsi"/>
          <w:bCs/>
          <w:sz w:val="24"/>
          <w:szCs w:val="24"/>
          <w:lang w:val="el-GR"/>
        </w:rPr>
        <w:t>μεταφορά</w:t>
      </w:r>
      <w:r w:rsidRPr="00B611B7">
        <w:rPr>
          <w:rFonts w:cstheme="minorHAnsi"/>
          <w:bCs/>
          <w:sz w:val="24"/>
          <w:szCs w:val="24"/>
          <w:lang w:val="el-GR"/>
        </w:rPr>
        <w:t xml:space="preserve"> πλήθους </w:t>
      </w:r>
      <w:proofErr w:type="spellStart"/>
      <w:r w:rsidRPr="00B611B7">
        <w:rPr>
          <w:rFonts w:cstheme="minorHAnsi"/>
          <w:bCs/>
          <w:sz w:val="24"/>
          <w:szCs w:val="24"/>
          <w:lang w:val="el-GR"/>
        </w:rPr>
        <w:t>συμβασιοποιημένων</w:t>
      </w:r>
      <w:proofErr w:type="spellEnd"/>
      <w:r w:rsidRPr="00B611B7">
        <w:rPr>
          <w:rFonts w:cstheme="minorHAnsi"/>
          <w:bCs/>
          <w:sz w:val="24"/>
          <w:szCs w:val="24"/>
          <w:lang w:val="el-GR"/>
        </w:rPr>
        <w:t xml:space="preserve"> και επιλέξιμων έργων του </w:t>
      </w:r>
      <w:r w:rsidR="00874EC0" w:rsidRPr="00B611B7">
        <w:rPr>
          <w:rFonts w:cstheme="minorHAnsi"/>
          <w:bCs/>
          <w:sz w:val="24"/>
          <w:szCs w:val="24"/>
          <w:lang w:val="el-GR"/>
        </w:rPr>
        <w:t>«</w:t>
      </w:r>
      <w:proofErr w:type="spellStart"/>
      <w:r w:rsidRPr="00B611B7">
        <w:rPr>
          <w:rFonts w:cstheme="minorHAnsi"/>
          <w:bCs/>
          <w:sz w:val="24"/>
          <w:szCs w:val="24"/>
          <w:lang w:val="el-GR"/>
        </w:rPr>
        <w:t>ΦιλόΔημου</w:t>
      </w:r>
      <w:proofErr w:type="spellEnd"/>
      <w:r w:rsidR="00874EC0" w:rsidRPr="00B611B7">
        <w:rPr>
          <w:rFonts w:cstheme="minorHAnsi"/>
          <w:bCs/>
          <w:sz w:val="24"/>
          <w:szCs w:val="24"/>
          <w:lang w:val="el-GR"/>
        </w:rPr>
        <w:t>»</w:t>
      </w:r>
      <w:r w:rsidRPr="00B611B7">
        <w:rPr>
          <w:rFonts w:cstheme="minorHAnsi"/>
          <w:bCs/>
          <w:sz w:val="24"/>
          <w:szCs w:val="24"/>
          <w:lang w:val="el-GR"/>
        </w:rPr>
        <w:t xml:space="preserve"> στο ΕΣΠΑ</w:t>
      </w:r>
      <w:r w:rsidR="00874EC0" w:rsidRPr="00B611B7">
        <w:rPr>
          <w:rFonts w:cstheme="minorHAnsi"/>
          <w:bCs/>
          <w:sz w:val="24"/>
          <w:szCs w:val="24"/>
          <w:lang w:val="el-GR"/>
        </w:rPr>
        <w:t xml:space="preserve">. Με αυτό τον τρόπο, εκτός των άλλων, ενισχύεται η απορρόφηση των </w:t>
      </w:r>
      <w:proofErr w:type="spellStart"/>
      <w:r w:rsidR="00874EC0" w:rsidRPr="00B611B7">
        <w:rPr>
          <w:rFonts w:cstheme="minorHAnsi"/>
          <w:bCs/>
          <w:sz w:val="24"/>
          <w:szCs w:val="24"/>
          <w:lang w:val="el-GR"/>
        </w:rPr>
        <w:t>ενωσιακών</w:t>
      </w:r>
      <w:proofErr w:type="spellEnd"/>
      <w:r w:rsidR="00874EC0" w:rsidRPr="00B611B7">
        <w:rPr>
          <w:rFonts w:cstheme="minorHAnsi"/>
          <w:bCs/>
          <w:sz w:val="24"/>
          <w:szCs w:val="24"/>
          <w:lang w:val="el-GR"/>
        </w:rPr>
        <w:t xml:space="preserve"> πόρων </w:t>
      </w:r>
      <w:r w:rsidRPr="00B611B7">
        <w:rPr>
          <w:rFonts w:cstheme="minorHAnsi"/>
          <w:bCs/>
          <w:sz w:val="24"/>
          <w:szCs w:val="24"/>
          <w:lang w:val="el-GR"/>
        </w:rPr>
        <w:t>της τρέ</w:t>
      </w:r>
      <w:r w:rsidR="00B611B7" w:rsidRPr="00B611B7">
        <w:rPr>
          <w:rFonts w:cstheme="minorHAnsi"/>
          <w:bCs/>
          <w:sz w:val="24"/>
          <w:szCs w:val="24"/>
          <w:lang w:val="el-GR"/>
        </w:rPr>
        <w:t>χουσας Προγραμματικής περιόδου (2014-2020).</w:t>
      </w:r>
    </w:p>
    <w:p w14:paraId="3BDE3D5A" w14:textId="77777777" w:rsidR="009C16F9" w:rsidRPr="009C16F9" w:rsidRDefault="009C16F9" w:rsidP="009C16F9">
      <w:pPr>
        <w:pStyle w:val="ListParagraph"/>
        <w:numPr>
          <w:ilvl w:val="0"/>
          <w:numId w:val="1"/>
        </w:numPr>
        <w:ind w:left="360"/>
        <w:jc w:val="both"/>
        <w:rPr>
          <w:rFonts w:cstheme="minorHAnsi"/>
          <w:sz w:val="24"/>
          <w:szCs w:val="24"/>
          <w:lang w:val="el-GR"/>
        </w:rPr>
      </w:pPr>
      <w:r w:rsidRPr="009C16F9">
        <w:rPr>
          <w:rFonts w:cstheme="minorHAnsi"/>
          <w:sz w:val="24"/>
          <w:szCs w:val="24"/>
          <w:lang w:val="el-GR"/>
        </w:rPr>
        <w:t xml:space="preserve">Τα ενταγμένα έργα αφορούν σε όλη τη χώρα ενώ έχει δοθεί ιδιαίτερη έμφαση στους ορεινούς, τους νησιωτικούς και τους απομακρυσμένους Δήμους. Σε αυτό το σημείο ιδιαίτερα σημαντική </w:t>
      </w:r>
      <w:r w:rsidR="00B611B7">
        <w:rPr>
          <w:rFonts w:cstheme="minorHAnsi"/>
          <w:sz w:val="24"/>
          <w:szCs w:val="24"/>
          <w:lang w:val="el-GR"/>
        </w:rPr>
        <w:t xml:space="preserve">είναι </w:t>
      </w:r>
      <w:r w:rsidRPr="009C16F9">
        <w:rPr>
          <w:rFonts w:cstheme="minorHAnsi"/>
          <w:sz w:val="24"/>
          <w:szCs w:val="24"/>
          <w:lang w:val="el-GR"/>
        </w:rPr>
        <w:t>η υποστήριξη της ΜΟΔ Α.Ε</w:t>
      </w:r>
      <w:r w:rsidR="00B611B7">
        <w:rPr>
          <w:rFonts w:cstheme="minorHAnsi"/>
          <w:sz w:val="24"/>
          <w:szCs w:val="24"/>
          <w:lang w:val="el-GR"/>
        </w:rPr>
        <w:t xml:space="preserve"> προς τους</w:t>
      </w:r>
      <w:r w:rsidRPr="009C16F9">
        <w:rPr>
          <w:rFonts w:cstheme="minorHAnsi"/>
          <w:sz w:val="24"/>
          <w:szCs w:val="24"/>
          <w:lang w:val="el-GR"/>
        </w:rPr>
        <w:t xml:space="preserve"> </w:t>
      </w:r>
      <w:r w:rsidR="00B611B7">
        <w:rPr>
          <w:rFonts w:cstheme="minorHAnsi"/>
          <w:sz w:val="24"/>
          <w:szCs w:val="24"/>
          <w:lang w:val="el-GR"/>
        </w:rPr>
        <w:t>διοικητικά</w:t>
      </w:r>
      <w:r w:rsidR="00B611B7" w:rsidRPr="009C16F9">
        <w:rPr>
          <w:rFonts w:cstheme="minorHAnsi"/>
          <w:sz w:val="24"/>
          <w:szCs w:val="24"/>
          <w:lang w:val="el-GR"/>
        </w:rPr>
        <w:t xml:space="preserve"> </w:t>
      </w:r>
      <w:r w:rsidR="00B611B7">
        <w:rPr>
          <w:rFonts w:cstheme="minorHAnsi"/>
          <w:sz w:val="24"/>
          <w:szCs w:val="24"/>
          <w:lang w:val="el-GR"/>
        </w:rPr>
        <w:t>«</w:t>
      </w:r>
      <w:r w:rsidRPr="009C16F9">
        <w:rPr>
          <w:rFonts w:cstheme="minorHAnsi"/>
          <w:sz w:val="24"/>
          <w:szCs w:val="24"/>
          <w:lang w:val="el-GR"/>
        </w:rPr>
        <w:t>αδύναμους</w:t>
      </w:r>
      <w:r w:rsidR="00B611B7">
        <w:rPr>
          <w:rFonts w:cstheme="minorHAnsi"/>
          <w:sz w:val="24"/>
          <w:szCs w:val="24"/>
          <w:lang w:val="el-GR"/>
        </w:rPr>
        <w:t xml:space="preserve">» μη επαρκείς </w:t>
      </w:r>
      <w:r w:rsidRPr="009C16F9">
        <w:rPr>
          <w:rFonts w:cstheme="minorHAnsi"/>
          <w:sz w:val="24"/>
          <w:szCs w:val="24"/>
          <w:lang w:val="el-GR"/>
        </w:rPr>
        <w:t>Δικαιούχους.</w:t>
      </w:r>
    </w:p>
    <w:p w14:paraId="57E47E42" w14:textId="77777777" w:rsidR="009C16F9" w:rsidRPr="009C16F9" w:rsidRDefault="009C16F9" w:rsidP="009C16F9">
      <w:pPr>
        <w:pStyle w:val="ListParagraph"/>
        <w:numPr>
          <w:ilvl w:val="0"/>
          <w:numId w:val="1"/>
        </w:numPr>
        <w:ind w:left="360"/>
        <w:jc w:val="both"/>
        <w:rPr>
          <w:rFonts w:cstheme="minorHAnsi"/>
          <w:sz w:val="24"/>
          <w:szCs w:val="24"/>
          <w:lang w:val="el-GR"/>
        </w:rPr>
      </w:pPr>
      <w:r w:rsidRPr="009C16F9">
        <w:rPr>
          <w:rFonts w:cstheme="minorHAnsi"/>
          <w:sz w:val="24"/>
          <w:szCs w:val="24"/>
          <w:lang w:val="el-GR"/>
        </w:rPr>
        <w:t xml:space="preserve">Τα έργα που αφορούν σε ύδρευση, αποχέτευση και αντιπλημμυρικές υποδομές είναι </w:t>
      </w:r>
      <w:r w:rsidR="00B611B7">
        <w:rPr>
          <w:rFonts w:cstheme="minorHAnsi"/>
          <w:sz w:val="24"/>
          <w:szCs w:val="24"/>
          <w:lang w:val="el-GR"/>
        </w:rPr>
        <w:t>σε συμμόρφωση με το «κ</w:t>
      </w:r>
      <w:r w:rsidRPr="009C16F9">
        <w:rPr>
          <w:rFonts w:cstheme="minorHAnsi"/>
          <w:sz w:val="24"/>
          <w:szCs w:val="24"/>
          <w:lang w:val="el-GR"/>
        </w:rPr>
        <w:t>οινοτικό κεκτημένο</w:t>
      </w:r>
      <w:r w:rsidR="00B611B7">
        <w:rPr>
          <w:rFonts w:cstheme="minorHAnsi"/>
          <w:sz w:val="24"/>
          <w:szCs w:val="24"/>
          <w:lang w:val="el-GR"/>
        </w:rPr>
        <w:t>»</w:t>
      </w:r>
      <w:r w:rsidRPr="009C16F9">
        <w:rPr>
          <w:rFonts w:cstheme="minorHAnsi"/>
          <w:sz w:val="24"/>
          <w:szCs w:val="24"/>
          <w:lang w:val="el-GR"/>
        </w:rPr>
        <w:t xml:space="preserve"> καθώς και σε συμμόρφωση με τα εγκεκριμένα </w:t>
      </w:r>
      <w:r w:rsidRPr="009C16F9">
        <w:rPr>
          <w:rFonts w:cstheme="minorHAnsi"/>
          <w:sz w:val="24"/>
          <w:szCs w:val="24"/>
          <w:lang w:val="el-GR"/>
        </w:rPr>
        <w:lastRenderedPageBreak/>
        <w:t>Σχέδια Διαχείρισης Λεκανών Απορροής Ποταμών (ΣΔΛΑΠ – 1</w:t>
      </w:r>
      <w:r w:rsidRPr="009C16F9">
        <w:rPr>
          <w:rFonts w:cstheme="minorHAnsi"/>
          <w:sz w:val="24"/>
          <w:szCs w:val="24"/>
          <w:vertAlign w:val="superscript"/>
          <w:lang w:val="el-GR"/>
        </w:rPr>
        <w:t>η</w:t>
      </w:r>
      <w:r w:rsidRPr="009C16F9">
        <w:rPr>
          <w:rFonts w:cstheme="minorHAnsi"/>
          <w:sz w:val="24"/>
          <w:szCs w:val="24"/>
          <w:lang w:val="el-GR"/>
        </w:rPr>
        <w:t xml:space="preserve"> αναθεώρηση) και τα Σχέδια Διαχείρισης Κινδύνων Πλημμύρας (ΣΔΚΠ), στο πλαίσιο μιας ολιστικής προσέγγισης περιβαλλοντικής προστασίας και συμβατής από στρατηγικής άποψης διαδικασίας. </w:t>
      </w:r>
    </w:p>
    <w:p w14:paraId="73CC9EA3" w14:textId="77777777" w:rsidR="009C16F9" w:rsidRPr="009C16F9" w:rsidRDefault="009C16F9" w:rsidP="009C16F9">
      <w:pPr>
        <w:pStyle w:val="ListParagraph"/>
        <w:numPr>
          <w:ilvl w:val="0"/>
          <w:numId w:val="1"/>
        </w:numPr>
        <w:ind w:left="360"/>
        <w:jc w:val="both"/>
        <w:rPr>
          <w:rFonts w:cstheme="minorHAnsi"/>
          <w:sz w:val="24"/>
          <w:szCs w:val="24"/>
          <w:lang w:val="el-GR"/>
        </w:rPr>
      </w:pPr>
      <w:r w:rsidRPr="009C16F9">
        <w:rPr>
          <w:rFonts w:cstheme="minorHAnsi"/>
          <w:sz w:val="24"/>
          <w:szCs w:val="24"/>
          <w:lang w:val="el-GR"/>
        </w:rPr>
        <w:t xml:space="preserve">Ειδικότερα στις αποχετεύσεις λυμάτων, αξίζει να επισημανθεί ότι στην αντίστοιχη Πρόσκληση ΙΙ εισήχθησαν για πρώτη φορά εύλογα </w:t>
      </w:r>
      <w:proofErr w:type="spellStart"/>
      <w:r w:rsidRPr="009C16F9">
        <w:rPr>
          <w:rFonts w:cstheme="minorHAnsi"/>
          <w:sz w:val="24"/>
          <w:szCs w:val="24"/>
          <w:lang w:val="el-GR"/>
        </w:rPr>
        <w:t>μοναδιαία</w:t>
      </w:r>
      <w:proofErr w:type="spellEnd"/>
      <w:r w:rsidRPr="009C16F9">
        <w:rPr>
          <w:rFonts w:cstheme="minorHAnsi"/>
          <w:sz w:val="24"/>
          <w:szCs w:val="24"/>
          <w:lang w:val="el-GR"/>
        </w:rPr>
        <w:t xml:space="preserve"> κόστη στα κριτήρια αξιολόγησης προς αποφυγή δαπανηρών/μη βιώσιμων έργων. Έως σήμερα έχουν ενταχθεί έργα οικισμών Γ’ προτεραιότητας (δηλαδή άνω των 2.000 κατοίκων) που δεν </w:t>
      </w:r>
      <w:r w:rsidR="00B611B7">
        <w:rPr>
          <w:rFonts w:cstheme="minorHAnsi"/>
          <w:sz w:val="24"/>
          <w:szCs w:val="24"/>
          <w:lang w:val="el-GR"/>
        </w:rPr>
        <w:t>μπορούσαν να ενταχθούν</w:t>
      </w:r>
      <w:r w:rsidRPr="009C16F9">
        <w:rPr>
          <w:rFonts w:cstheme="minorHAnsi"/>
          <w:sz w:val="24"/>
          <w:szCs w:val="24"/>
          <w:lang w:val="el-GR"/>
        </w:rPr>
        <w:t xml:space="preserve"> στο ΕΣΠΑ και αποτελεί υποχρέωση της χώρας να υλοποιηθούν, αλλά και έργα σε μικρότερους οικισμούς σε περιοχές με περιβαλλοντική ευαισθησία (Άρθρα 6 &amp; 7 του ΠΔ 51/2007) καθώς και ημιτελή έργα προκειμένου να καταστούν λειτουργικά. Ιδιαίτερα σημαντική είναι η χρηματοδότηση που έχει δοθεί σε έργα αναβάθμισης Εγκαταστάσεων Επεξεργασί</w:t>
      </w:r>
      <w:r w:rsidR="00B611B7">
        <w:rPr>
          <w:rFonts w:cstheme="minorHAnsi"/>
          <w:sz w:val="24"/>
          <w:szCs w:val="24"/>
          <w:lang w:val="el-GR"/>
        </w:rPr>
        <w:t>ας Λυμάτων (ΕΕΛ) ηλικίας άνω της</w:t>
      </w:r>
      <w:r w:rsidRPr="009C16F9">
        <w:rPr>
          <w:rFonts w:cstheme="minorHAnsi"/>
          <w:sz w:val="24"/>
          <w:szCs w:val="24"/>
          <w:lang w:val="el-GR"/>
        </w:rPr>
        <w:t xml:space="preserve"> 20ετίας, διασφαλίζοντας έτσι την ομαλή λειτουργία, την επίτευξη των ποιοτικών ορίων εκροής καθώς και την δυνητική επαναχρησιμοπ</w:t>
      </w:r>
      <w:r w:rsidR="00B611B7">
        <w:rPr>
          <w:rFonts w:cstheme="minorHAnsi"/>
          <w:sz w:val="24"/>
          <w:szCs w:val="24"/>
          <w:lang w:val="el-GR"/>
        </w:rPr>
        <w:t>οίηση εκροών για επωφελείς χρήσεις</w:t>
      </w:r>
      <w:r w:rsidRPr="009C16F9">
        <w:rPr>
          <w:rFonts w:cstheme="minorHAnsi"/>
          <w:sz w:val="24"/>
          <w:szCs w:val="24"/>
          <w:lang w:val="el-GR"/>
        </w:rPr>
        <w:t xml:space="preserve"> (άρδευση </w:t>
      </w:r>
      <w:proofErr w:type="spellStart"/>
      <w:r w:rsidRPr="009C16F9">
        <w:rPr>
          <w:rFonts w:cstheme="minorHAnsi"/>
          <w:sz w:val="24"/>
          <w:szCs w:val="24"/>
          <w:lang w:val="el-GR"/>
        </w:rPr>
        <w:t>κλπ</w:t>
      </w:r>
      <w:proofErr w:type="spellEnd"/>
      <w:r w:rsidRPr="009C16F9">
        <w:rPr>
          <w:rFonts w:cstheme="minorHAnsi"/>
          <w:sz w:val="24"/>
          <w:szCs w:val="24"/>
          <w:lang w:val="el-GR"/>
        </w:rPr>
        <w:t>).</w:t>
      </w:r>
    </w:p>
    <w:p w14:paraId="0BEECC4D" w14:textId="77777777" w:rsidR="009C16F9" w:rsidRPr="00B611B7" w:rsidRDefault="009C16F9" w:rsidP="009C16F9">
      <w:pPr>
        <w:pStyle w:val="ListParagraph"/>
        <w:numPr>
          <w:ilvl w:val="0"/>
          <w:numId w:val="1"/>
        </w:numPr>
        <w:ind w:left="360"/>
        <w:jc w:val="both"/>
        <w:rPr>
          <w:rFonts w:cstheme="minorHAnsi"/>
          <w:sz w:val="24"/>
          <w:szCs w:val="24"/>
          <w:lang w:val="el-GR"/>
        </w:rPr>
      </w:pPr>
      <w:r w:rsidRPr="00B611B7">
        <w:rPr>
          <w:rFonts w:cstheme="minorHAnsi"/>
          <w:bCs/>
          <w:sz w:val="24"/>
          <w:szCs w:val="24"/>
          <w:lang w:val="el-GR"/>
        </w:rPr>
        <w:t xml:space="preserve">Μέσω της Πρόσκλησης ΙΙΙ δόθηκε η μοναδική δυνατότητα για την χρηματοδότηση </w:t>
      </w:r>
      <w:r w:rsidR="00B611B7" w:rsidRPr="00B611B7">
        <w:rPr>
          <w:rFonts w:cstheme="minorHAnsi"/>
          <w:bCs/>
          <w:sz w:val="24"/>
          <w:szCs w:val="24"/>
          <w:lang w:val="el-GR"/>
        </w:rPr>
        <w:t xml:space="preserve">της αποκατάστασης </w:t>
      </w:r>
      <w:r w:rsidRPr="00B611B7">
        <w:rPr>
          <w:rFonts w:cstheme="minorHAnsi"/>
          <w:bCs/>
          <w:sz w:val="24"/>
          <w:szCs w:val="24"/>
          <w:lang w:val="el-GR"/>
        </w:rPr>
        <w:t xml:space="preserve">και των τελευταίων ΧΑΔΑ της χώρας, έργα τα οποία δεν είναι επιλέξιμα </w:t>
      </w:r>
      <w:r w:rsidR="00B611B7" w:rsidRPr="00B611B7">
        <w:rPr>
          <w:rFonts w:cstheme="minorHAnsi"/>
          <w:bCs/>
          <w:sz w:val="24"/>
          <w:szCs w:val="24"/>
          <w:lang w:val="el-GR"/>
        </w:rPr>
        <w:t xml:space="preserve">για χρηματοδότηση από </w:t>
      </w:r>
      <w:r w:rsidRPr="00B611B7">
        <w:rPr>
          <w:rFonts w:cstheme="minorHAnsi"/>
          <w:bCs/>
          <w:sz w:val="24"/>
          <w:szCs w:val="24"/>
          <w:lang w:val="el-GR"/>
        </w:rPr>
        <w:t xml:space="preserve">το ΕΣΠΑ και τα οποία πρέπει πλέον να ολοκληρωθούν για την πλήρη και οριστική </w:t>
      </w:r>
      <w:r w:rsidR="00B611B7" w:rsidRPr="00B611B7">
        <w:rPr>
          <w:rFonts w:cstheme="minorHAnsi"/>
          <w:bCs/>
          <w:sz w:val="24"/>
          <w:szCs w:val="24"/>
          <w:lang w:val="el-GR"/>
        </w:rPr>
        <w:t>συμμόρφωση τ</w:t>
      </w:r>
      <w:r w:rsidRPr="00B611B7">
        <w:rPr>
          <w:rFonts w:cstheme="minorHAnsi"/>
          <w:bCs/>
          <w:sz w:val="24"/>
          <w:szCs w:val="24"/>
          <w:lang w:val="el-GR"/>
        </w:rPr>
        <w:t xml:space="preserve">ης χώρας </w:t>
      </w:r>
      <w:r w:rsidR="00B611B7" w:rsidRPr="00B611B7">
        <w:rPr>
          <w:rFonts w:cstheme="minorHAnsi"/>
          <w:bCs/>
          <w:sz w:val="24"/>
          <w:szCs w:val="24"/>
          <w:lang w:val="el-GR"/>
        </w:rPr>
        <w:t>μετά την καταδίκη από το ΔΕΕ (</w:t>
      </w:r>
      <w:r w:rsidRPr="00B611B7">
        <w:rPr>
          <w:rFonts w:cstheme="minorHAnsi"/>
          <w:bCs/>
          <w:sz w:val="24"/>
          <w:szCs w:val="24"/>
          <w:lang w:val="el-GR"/>
        </w:rPr>
        <w:t>καταβολή του εξαμηνιαίου προστίμου</w:t>
      </w:r>
      <w:r w:rsidR="00B611B7" w:rsidRPr="00B611B7">
        <w:rPr>
          <w:rFonts w:cstheme="minorHAnsi"/>
          <w:bCs/>
          <w:sz w:val="24"/>
          <w:szCs w:val="24"/>
          <w:lang w:val="el-GR"/>
        </w:rPr>
        <w:t xml:space="preserve"> έως την πλήρη συμμόρφωση)</w:t>
      </w:r>
      <w:r w:rsidRPr="00B611B7">
        <w:rPr>
          <w:rFonts w:cstheme="minorHAnsi"/>
          <w:sz w:val="24"/>
          <w:szCs w:val="24"/>
          <w:lang w:val="el-GR"/>
        </w:rPr>
        <w:t xml:space="preserve">.  </w:t>
      </w:r>
    </w:p>
    <w:p w14:paraId="63206DD4" w14:textId="77777777" w:rsidR="009C16F9" w:rsidRPr="00B611B7" w:rsidRDefault="009C16F9" w:rsidP="009C16F9">
      <w:pPr>
        <w:pStyle w:val="ListParagraph"/>
        <w:numPr>
          <w:ilvl w:val="0"/>
          <w:numId w:val="1"/>
        </w:numPr>
        <w:ind w:left="426"/>
        <w:jc w:val="both"/>
        <w:rPr>
          <w:rFonts w:cstheme="minorHAnsi"/>
          <w:sz w:val="24"/>
          <w:szCs w:val="24"/>
          <w:lang w:val="el-GR"/>
        </w:rPr>
      </w:pPr>
      <w:r w:rsidRPr="009C16F9">
        <w:rPr>
          <w:rFonts w:cstheme="minorHAnsi"/>
          <w:sz w:val="24"/>
          <w:szCs w:val="24"/>
          <w:lang w:val="el-GR"/>
        </w:rPr>
        <w:t xml:space="preserve">Στο πεδίο των αντιπλημμυρικών έργων (Πρόσκληση </w:t>
      </w:r>
      <w:r w:rsidRPr="009C16F9">
        <w:rPr>
          <w:rFonts w:cstheme="minorHAnsi"/>
          <w:sz w:val="24"/>
          <w:szCs w:val="24"/>
        </w:rPr>
        <w:t>VI</w:t>
      </w:r>
      <w:r w:rsidRPr="009C16F9">
        <w:rPr>
          <w:rFonts w:cstheme="minorHAnsi"/>
          <w:sz w:val="24"/>
          <w:szCs w:val="24"/>
          <w:lang w:val="el-GR"/>
        </w:rPr>
        <w:t xml:space="preserve">), έχουν χρηματοδοτηθεί έργα αντιπλημμυρικής προστασίας σε περιοχές οι οποίες περιλαμβάνονται στις </w:t>
      </w:r>
      <w:r w:rsidRPr="00B611B7">
        <w:rPr>
          <w:rFonts w:cstheme="minorHAnsi"/>
          <w:bCs/>
          <w:sz w:val="24"/>
          <w:szCs w:val="24"/>
          <w:lang w:val="el-GR"/>
        </w:rPr>
        <w:t>Ζώνες Δυνητικά Υψηλού Κινδύνου Πλημμύρας (ΖΔΥΚΠ) των Υδατικών Διαμερισμάτων της χώρας</w:t>
      </w:r>
      <w:r w:rsidRPr="009C16F9">
        <w:rPr>
          <w:rFonts w:cstheme="minorHAnsi"/>
          <w:sz w:val="24"/>
          <w:szCs w:val="24"/>
          <w:lang w:val="el-GR"/>
        </w:rPr>
        <w:t xml:space="preserve">, όπως αυτές έχουν χαρακτηριστεί και περιγράφονται στα εγκεκριμένα Σχέδια Διαχείρισης Κινδύνων Πλημμυρών (ΣΔΚΠ). </w:t>
      </w:r>
      <w:r w:rsidR="00B611B7" w:rsidRPr="00B611B7">
        <w:rPr>
          <w:rFonts w:cstheme="minorHAnsi"/>
          <w:bCs/>
          <w:sz w:val="24"/>
          <w:szCs w:val="24"/>
          <w:lang w:val="el-GR"/>
        </w:rPr>
        <w:t>Επι</w:t>
      </w:r>
      <w:r w:rsidRPr="00B611B7">
        <w:rPr>
          <w:rFonts w:cstheme="minorHAnsi"/>
          <w:bCs/>
          <w:sz w:val="24"/>
          <w:szCs w:val="24"/>
          <w:lang w:val="el-GR"/>
        </w:rPr>
        <w:t>πλέον, στο</w:t>
      </w:r>
      <w:r w:rsidR="00B611B7" w:rsidRPr="00B611B7">
        <w:rPr>
          <w:rFonts w:cstheme="minorHAnsi"/>
          <w:bCs/>
          <w:sz w:val="24"/>
          <w:szCs w:val="24"/>
          <w:lang w:val="el-GR"/>
        </w:rPr>
        <w:t>ν τομέα</w:t>
      </w:r>
      <w:r w:rsidRPr="00B611B7">
        <w:rPr>
          <w:rFonts w:cstheme="minorHAnsi"/>
          <w:bCs/>
          <w:sz w:val="24"/>
          <w:szCs w:val="24"/>
          <w:lang w:val="el-GR"/>
        </w:rPr>
        <w:t xml:space="preserve"> των αντιπλημμυρικών έργων, ο </w:t>
      </w:r>
      <w:proofErr w:type="spellStart"/>
      <w:r w:rsidR="00B611B7" w:rsidRPr="00B611B7">
        <w:rPr>
          <w:rFonts w:cstheme="minorHAnsi"/>
          <w:bCs/>
          <w:sz w:val="24"/>
          <w:szCs w:val="24"/>
          <w:lang w:val="el-GR"/>
        </w:rPr>
        <w:t>ΦιλόΔημος</w:t>
      </w:r>
      <w:proofErr w:type="spellEnd"/>
      <w:r w:rsidR="00B611B7" w:rsidRPr="00B611B7">
        <w:rPr>
          <w:rFonts w:cstheme="minorHAnsi"/>
          <w:bCs/>
          <w:sz w:val="24"/>
          <w:szCs w:val="24"/>
          <w:lang w:val="el-GR"/>
        </w:rPr>
        <w:t xml:space="preserve"> φέρνει μία καινοτομία:</w:t>
      </w:r>
      <w:r w:rsidRPr="00B611B7">
        <w:rPr>
          <w:rFonts w:cstheme="minorHAnsi"/>
          <w:bCs/>
          <w:sz w:val="24"/>
          <w:szCs w:val="24"/>
          <w:lang w:val="el-GR"/>
        </w:rPr>
        <w:t xml:space="preserve"> Μαζί με τα έργα δίνεται η δυνατότητα χρηματοδότησης και δράσεων πρόληψης και προειδοποίησης, ώστε να επιτευχθεί ο συνδυασμός έργων και πολιτική</w:t>
      </w:r>
      <w:r w:rsidR="00B611B7" w:rsidRPr="00B611B7">
        <w:rPr>
          <w:rFonts w:cstheme="minorHAnsi"/>
          <w:bCs/>
          <w:sz w:val="24"/>
          <w:szCs w:val="24"/>
          <w:lang w:val="el-GR"/>
        </w:rPr>
        <w:t>ς</w:t>
      </w:r>
      <w:r w:rsidRPr="00B611B7">
        <w:rPr>
          <w:rFonts w:cstheme="minorHAnsi"/>
          <w:bCs/>
          <w:sz w:val="24"/>
          <w:szCs w:val="24"/>
          <w:lang w:val="el-GR"/>
        </w:rPr>
        <w:t xml:space="preserve"> προστασίας </w:t>
      </w:r>
      <w:r w:rsidR="00B611B7" w:rsidRPr="00B611B7">
        <w:rPr>
          <w:rFonts w:cstheme="minorHAnsi"/>
          <w:bCs/>
          <w:sz w:val="24"/>
          <w:szCs w:val="24"/>
          <w:lang w:val="el-GR"/>
        </w:rPr>
        <w:t xml:space="preserve">στο πλαίσιο </w:t>
      </w:r>
      <w:r w:rsidRPr="00B611B7">
        <w:rPr>
          <w:rFonts w:cstheme="minorHAnsi"/>
          <w:bCs/>
          <w:sz w:val="24"/>
          <w:szCs w:val="24"/>
          <w:lang w:val="el-GR"/>
        </w:rPr>
        <w:t>μία</w:t>
      </w:r>
      <w:r w:rsidR="00B611B7" w:rsidRPr="00B611B7">
        <w:rPr>
          <w:rFonts w:cstheme="minorHAnsi"/>
          <w:bCs/>
          <w:sz w:val="24"/>
          <w:szCs w:val="24"/>
          <w:lang w:val="el-GR"/>
        </w:rPr>
        <w:t>ς</w:t>
      </w:r>
      <w:r w:rsidRPr="00B611B7">
        <w:rPr>
          <w:rFonts w:cstheme="minorHAnsi"/>
          <w:bCs/>
          <w:sz w:val="24"/>
          <w:szCs w:val="24"/>
          <w:lang w:val="el-GR"/>
        </w:rPr>
        <w:t xml:space="preserve"> απολύτως ολιστική</w:t>
      </w:r>
      <w:r w:rsidR="00B611B7" w:rsidRPr="00B611B7">
        <w:rPr>
          <w:rFonts w:cstheme="minorHAnsi"/>
          <w:bCs/>
          <w:sz w:val="24"/>
          <w:szCs w:val="24"/>
          <w:lang w:val="el-GR"/>
        </w:rPr>
        <w:t>ς</w:t>
      </w:r>
      <w:r w:rsidRPr="00B611B7">
        <w:rPr>
          <w:rFonts w:cstheme="minorHAnsi"/>
          <w:bCs/>
          <w:sz w:val="24"/>
          <w:szCs w:val="24"/>
          <w:lang w:val="el-GR"/>
        </w:rPr>
        <w:t xml:space="preserve"> και ρεαλιστική</w:t>
      </w:r>
      <w:r w:rsidR="00B611B7" w:rsidRPr="00B611B7">
        <w:rPr>
          <w:rFonts w:cstheme="minorHAnsi"/>
          <w:bCs/>
          <w:sz w:val="24"/>
          <w:szCs w:val="24"/>
          <w:lang w:val="el-GR"/>
        </w:rPr>
        <w:t>ς</w:t>
      </w:r>
      <w:r w:rsidRPr="00B611B7">
        <w:rPr>
          <w:rFonts w:cstheme="minorHAnsi"/>
          <w:bCs/>
          <w:sz w:val="24"/>
          <w:szCs w:val="24"/>
          <w:lang w:val="el-GR"/>
        </w:rPr>
        <w:t xml:space="preserve"> προσέγγιση</w:t>
      </w:r>
      <w:r w:rsidRPr="00B611B7">
        <w:rPr>
          <w:rFonts w:cstheme="minorHAnsi"/>
          <w:sz w:val="24"/>
          <w:szCs w:val="24"/>
          <w:lang w:val="el-GR"/>
        </w:rPr>
        <w:t>.</w:t>
      </w:r>
    </w:p>
    <w:p w14:paraId="6E223F45" w14:textId="77777777" w:rsidR="009C16F9" w:rsidRPr="009C16F9" w:rsidRDefault="009C16F9" w:rsidP="009C16F9">
      <w:pPr>
        <w:pStyle w:val="ListParagraph"/>
        <w:numPr>
          <w:ilvl w:val="0"/>
          <w:numId w:val="1"/>
        </w:numPr>
        <w:ind w:left="426"/>
        <w:jc w:val="both"/>
        <w:rPr>
          <w:rFonts w:cstheme="minorHAnsi"/>
          <w:sz w:val="24"/>
          <w:szCs w:val="24"/>
          <w:lang w:val="el-GR"/>
        </w:rPr>
      </w:pPr>
      <w:r w:rsidRPr="009C16F9">
        <w:rPr>
          <w:rFonts w:cstheme="minorHAnsi"/>
          <w:sz w:val="24"/>
          <w:szCs w:val="24"/>
          <w:lang w:val="el-GR"/>
        </w:rPr>
        <w:t xml:space="preserve">Η Πρόσκληση των εμβληματικών έργων ύδρευσης (Πρόσκληση </w:t>
      </w:r>
      <w:r w:rsidRPr="009C16F9">
        <w:rPr>
          <w:rFonts w:cstheme="minorHAnsi"/>
          <w:sz w:val="24"/>
          <w:szCs w:val="24"/>
        </w:rPr>
        <w:t>VII</w:t>
      </w:r>
      <w:r w:rsidRPr="009C16F9">
        <w:rPr>
          <w:rFonts w:cstheme="minorHAnsi"/>
          <w:sz w:val="24"/>
          <w:szCs w:val="24"/>
          <w:lang w:val="el-GR"/>
        </w:rPr>
        <w:t xml:space="preserve">) έδωσε λύση σε </w:t>
      </w:r>
      <w:r w:rsidR="00B611B7" w:rsidRPr="009C16F9">
        <w:rPr>
          <w:rFonts w:cstheme="minorHAnsi"/>
          <w:sz w:val="24"/>
          <w:szCs w:val="24"/>
          <w:lang w:val="el-GR"/>
        </w:rPr>
        <w:t xml:space="preserve">υδρευτικά </w:t>
      </w:r>
      <w:r w:rsidRPr="009C16F9">
        <w:rPr>
          <w:rFonts w:cstheme="minorHAnsi"/>
          <w:sz w:val="24"/>
          <w:szCs w:val="24"/>
          <w:lang w:val="el-GR"/>
        </w:rPr>
        <w:t xml:space="preserve">προβλήματα Δήμων ή/και ομάδας Δήμων </w:t>
      </w:r>
      <w:r w:rsidRPr="00B611B7">
        <w:rPr>
          <w:rFonts w:cstheme="minorHAnsi"/>
          <w:bCs/>
          <w:sz w:val="24"/>
          <w:szCs w:val="24"/>
          <w:lang w:val="el-GR"/>
        </w:rPr>
        <w:t xml:space="preserve">με διαχρονικά και </w:t>
      </w:r>
      <w:proofErr w:type="spellStart"/>
      <w:r w:rsidRPr="00B611B7">
        <w:rPr>
          <w:rFonts w:cstheme="minorHAnsi"/>
          <w:bCs/>
          <w:sz w:val="24"/>
          <w:szCs w:val="24"/>
          <w:lang w:val="el-GR"/>
        </w:rPr>
        <w:t>υπερ</w:t>
      </w:r>
      <w:proofErr w:type="spellEnd"/>
      <w:r w:rsidRPr="00B611B7">
        <w:rPr>
          <w:rFonts w:cstheme="minorHAnsi"/>
          <w:bCs/>
          <w:sz w:val="24"/>
          <w:szCs w:val="24"/>
          <w:lang w:val="el-GR"/>
        </w:rPr>
        <w:t>-τοπικά υδρευτικά ζητήματα</w:t>
      </w:r>
      <w:r w:rsidRPr="00B611B7">
        <w:rPr>
          <w:rFonts w:cstheme="minorHAnsi"/>
          <w:sz w:val="24"/>
          <w:szCs w:val="24"/>
          <w:lang w:val="el-GR"/>
        </w:rPr>
        <w:t>.</w:t>
      </w:r>
      <w:r w:rsidRPr="009C16F9">
        <w:rPr>
          <w:rFonts w:cstheme="minorHAnsi"/>
          <w:sz w:val="24"/>
          <w:szCs w:val="24"/>
          <w:lang w:val="el-GR"/>
        </w:rPr>
        <w:t xml:space="preserve"> </w:t>
      </w:r>
      <w:r w:rsidR="00B611B7">
        <w:rPr>
          <w:rFonts w:cstheme="minorHAnsi"/>
          <w:sz w:val="24"/>
          <w:szCs w:val="24"/>
          <w:lang w:val="el-GR"/>
        </w:rPr>
        <w:t xml:space="preserve">Χαρακτηριστικό είναι </w:t>
      </w:r>
      <w:r w:rsidRPr="009C16F9">
        <w:rPr>
          <w:rFonts w:cstheme="minorHAnsi"/>
          <w:sz w:val="24"/>
          <w:szCs w:val="24"/>
          <w:lang w:val="el-GR"/>
        </w:rPr>
        <w:t xml:space="preserve">το παράδειγμα εξωτερικών υδραγωγείων ηλικίας </w:t>
      </w:r>
      <w:r w:rsidRPr="00B611B7">
        <w:rPr>
          <w:rFonts w:cstheme="minorHAnsi"/>
          <w:bCs/>
          <w:sz w:val="24"/>
          <w:szCs w:val="24"/>
          <w:lang w:val="el-GR"/>
        </w:rPr>
        <w:t>άνω των 40 ετών</w:t>
      </w:r>
      <w:r w:rsidR="00B611B7">
        <w:rPr>
          <w:rFonts w:cstheme="minorHAnsi"/>
          <w:sz w:val="24"/>
          <w:szCs w:val="24"/>
          <w:lang w:val="el-GR"/>
        </w:rPr>
        <w:t>, τα οποία, με βάση τις ε</w:t>
      </w:r>
      <w:r w:rsidRPr="009C16F9">
        <w:rPr>
          <w:rFonts w:cstheme="minorHAnsi"/>
          <w:sz w:val="24"/>
          <w:szCs w:val="24"/>
          <w:lang w:val="el-GR"/>
        </w:rPr>
        <w:t>θνικές</w:t>
      </w:r>
      <w:r w:rsidR="00B611B7">
        <w:rPr>
          <w:rFonts w:cstheme="minorHAnsi"/>
          <w:sz w:val="24"/>
          <w:szCs w:val="24"/>
          <w:lang w:val="el-GR"/>
        </w:rPr>
        <w:t xml:space="preserve"> π</w:t>
      </w:r>
      <w:r w:rsidRPr="009C16F9">
        <w:rPr>
          <w:rFonts w:cstheme="minorHAnsi"/>
          <w:sz w:val="24"/>
          <w:szCs w:val="24"/>
          <w:lang w:val="el-GR"/>
        </w:rPr>
        <w:t>ροδιαγραφές</w:t>
      </w:r>
      <w:r w:rsidR="00B611B7">
        <w:rPr>
          <w:rFonts w:cstheme="minorHAnsi"/>
          <w:sz w:val="24"/>
          <w:szCs w:val="24"/>
          <w:lang w:val="el-GR"/>
        </w:rPr>
        <w:t>,</w:t>
      </w:r>
      <w:r w:rsidRPr="009C16F9">
        <w:rPr>
          <w:rFonts w:cstheme="minorHAnsi"/>
          <w:sz w:val="24"/>
          <w:szCs w:val="24"/>
          <w:lang w:val="el-GR"/>
        </w:rPr>
        <w:t xml:space="preserve"> έχουν παύσει </w:t>
      </w:r>
      <w:r w:rsidR="00B611B7">
        <w:rPr>
          <w:rFonts w:cstheme="minorHAnsi"/>
          <w:sz w:val="24"/>
          <w:szCs w:val="24"/>
          <w:lang w:val="el-GR"/>
        </w:rPr>
        <w:t xml:space="preserve">πλέον </w:t>
      </w:r>
      <w:r w:rsidRPr="009C16F9">
        <w:rPr>
          <w:rFonts w:cstheme="minorHAnsi"/>
          <w:sz w:val="24"/>
          <w:szCs w:val="24"/>
          <w:lang w:val="el-GR"/>
        </w:rPr>
        <w:t>να εξυπηρετούν το σκοπό τους (ήτοι την περίοδο σχεδιασμού τους) και είναι ο</w:t>
      </w:r>
      <w:r w:rsidR="00B611B7">
        <w:rPr>
          <w:rFonts w:cstheme="minorHAnsi"/>
          <w:sz w:val="24"/>
          <w:szCs w:val="24"/>
          <w:lang w:val="el-GR"/>
        </w:rPr>
        <w:t xml:space="preserve">υσιαστικά ‘σαν να μην υπάρχουν’ (π.χ. </w:t>
      </w:r>
      <w:r w:rsidRPr="009C16F9">
        <w:rPr>
          <w:rFonts w:cstheme="minorHAnsi"/>
          <w:sz w:val="24"/>
          <w:szCs w:val="24"/>
          <w:lang w:val="el-GR"/>
        </w:rPr>
        <w:t>εξωτερικ</w:t>
      </w:r>
      <w:r w:rsidR="00B611B7">
        <w:rPr>
          <w:rFonts w:cstheme="minorHAnsi"/>
          <w:sz w:val="24"/>
          <w:szCs w:val="24"/>
          <w:lang w:val="el-GR"/>
        </w:rPr>
        <w:t>ό</w:t>
      </w:r>
      <w:r w:rsidRPr="009C16F9">
        <w:rPr>
          <w:rFonts w:cstheme="minorHAnsi"/>
          <w:sz w:val="24"/>
          <w:szCs w:val="24"/>
          <w:lang w:val="el-GR"/>
        </w:rPr>
        <w:t xml:space="preserve"> υδραγωγείο Αγρινίου</w:t>
      </w:r>
      <w:r w:rsidR="00B611B7">
        <w:rPr>
          <w:rFonts w:cstheme="minorHAnsi"/>
          <w:sz w:val="24"/>
          <w:szCs w:val="24"/>
          <w:lang w:val="el-GR"/>
        </w:rPr>
        <w:t>)</w:t>
      </w:r>
      <w:r w:rsidRPr="009C16F9">
        <w:rPr>
          <w:rFonts w:cstheme="minorHAnsi"/>
          <w:sz w:val="24"/>
          <w:szCs w:val="24"/>
          <w:lang w:val="el-GR"/>
        </w:rPr>
        <w:t>. Χρηματοδοτήθηκαν</w:t>
      </w:r>
      <w:r w:rsidR="00B611B7">
        <w:rPr>
          <w:rFonts w:cstheme="minorHAnsi"/>
          <w:sz w:val="24"/>
          <w:szCs w:val="24"/>
          <w:lang w:val="el-GR"/>
        </w:rPr>
        <w:t>,</w:t>
      </w:r>
      <w:r w:rsidRPr="009C16F9">
        <w:rPr>
          <w:rFonts w:cstheme="minorHAnsi"/>
          <w:sz w:val="24"/>
          <w:szCs w:val="24"/>
          <w:lang w:val="el-GR"/>
        </w:rPr>
        <w:t xml:space="preserve"> </w:t>
      </w:r>
      <w:r w:rsidR="00B611B7">
        <w:rPr>
          <w:rFonts w:cstheme="minorHAnsi"/>
          <w:sz w:val="24"/>
          <w:szCs w:val="24"/>
          <w:lang w:val="el-GR"/>
        </w:rPr>
        <w:t>επίσης,</w:t>
      </w:r>
      <w:r w:rsidRPr="009C16F9">
        <w:rPr>
          <w:rFonts w:cstheme="minorHAnsi"/>
          <w:sz w:val="24"/>
          <w:szCs w:val="24"/>
          <w:lang w:val="el-GR"/>
        </w:rPr>
        <w:t xml:space="preserve"> ιδιαίτερα σημαντικά έργα αξιοποίησης υφιστάμενων ταμιευτήρων για την υδροδότηση ευρύτερων περιοχών</w:t>
      </w:r>
      <w:r w:rsidR="00B611B7">
        <w:rPr>
          <w:rFonts w:cstheme="minorHAnsi"/>
          <w:sz w:val="24"/>
          <w:szCs w:val="24"/>
          <w:lang w:val="el-GR"/>
        </w:rPr>
        <w:t>,</w:t>
      </w:r>
      <w:r w:rsidRPr="009C16F9">
        <w:rPr>
          <w:rFonts w:cstheme="minorHAnsi"/>
          <w:sz w:val="24"/>
          <w:szCs w:val="24"/>
          <w:lang w:val="el-GR"/>
        </w:rPr>
        <w:t xml:space="preserve"> όπως π.χ. οι ταμιευτήρες </w:t>
      </w:r>
      <w:proofErr w:type="spellStart"/>
      <w:r w:rsidRPr="009C16F9">
        <w:rPr>
          <w:rFonts w:cstheme="minorHAnsi"/>
          <w:sz w:val="24"/>
          <w:szCs w:val="24"/>
          <w:lang w:val="el-GR"/>
        </w:rPr>
        <w:t>Αμαρίου</w:t>
      </w:r>
      <w:proofErr w:type="spellEnd"/>
      <w:r w:rsidRPr="009C16F9">
        <w:rPr>
          <w:rFonts w:cstheme="minorHAnsi"/>
          <w:sz w:val="24"/>
          <w:szCs w:val="24"/>
          <w:lang w:val="el-GR"/>
        </w:rPr>
        <w:t xml:space="preserve"> και </w:t>
      </w:r>
      <w:proofErr w:type="spellStart"/>
      <w:r w:rsidRPr="009C16F9">
        <w:rPr>
          <w:rFonts w:cstheme="minorHAnsi"/>
          <w:sz w:val="24"/>
          <w:szCs w:val="24"/>
          <w:lang w:val="el-GR"/>
        </w:rPr>
        <w:t>Γαδουρά</w:t>
      </w:r>
      <w:proofErr w:type="spellEnd"/>
      <w:r w:rsidRPr="009C16F9">
        <w:rPr>
          <w:rFonts w:cstheme="minorHAnsi"/>
          <w:sz w:val="24"/>
          <w:szCs w:val="24"/>
          <w:lang w:val="el-GR"/>
        </w:rPr>
        <w:t xml:space="preserve">.   </w:t>
      </w:r>
    </w:p>
    <w:p w14:paraId="32E2316E" w14:textId="77777777" w:rsidR="009C16F9" w:rsidRPr="009C16F9" w:rsidRDefault="009C16F9" w:rsidP="009C16F9">
      <w:pPr>
        <w:pStyle w:val="ListParagraph"/>
        <w:numPr>
          <w:ilvl w:val="0"/>
          <w:numId w:val="1"/>
        </w:numPr>
        <w:ind w:left="426"/>
        <w:jc w:val="both"/>
        <w:rPr>
          <w:rFonts w:cstheme="minorHAnsi"/>
          <w:sz w:val="24"/>
          <w:szCs w:val="24"/>
          <w:lang w:val="el-GR"/>
        </w:rPr>
      </w:pPr>
      <w:r w:rsidRPr="009C16F9">
        <w:rPr>
          <w:rFonts w:cstheme="minorHAnsi"/>
          <w:sz w:val="24"/>
          <w:szCs w:val="24"/>
          <w:lang w:val="el-GR"/>
        </w:rPr>
        <w:t xml:space="preserve">Η ανταπόκριση των Δικαιούχων στην Πρόσκληση </w:t>
      </w:r>
      <w:r w:rsidRPr="009C16F9">
        <w:rPr>
          <w:rFonts w:cstheme="minorHAnsi"/>
          <w:sz w:val="24"/>
          <w:szCs w:val="24"/>
        </w:rPr>
        <w:t>IV</w:t>
      </w:r>
      <w:r w:rsidR="000E7CAA">
        <w:rPr>
          <w:rFonts w:cstheme="minorHAnsi"/>
          <w:sz w:val="24"/>
          <w:szCs w:val="24"/>
          <w:lang w:val="el-GR"/>
        </w:rPr>
        <w:t>,</w:t>
      </w:r>
      <w:r w:rsidRPr="009C16F9">
        <w:rPr>
          <w:rFonts w:cstheme="minorHAnsi"/>
          <w:sz w:val="24"/>
          <w:szCs w:val="24"/>
          <w:lang w:val="el-GR"/>
        </w:rPr>
        <w:t xml:space="preserve"> που αφορά σε έργα για την εξασφάλιση της εύκολης και ασφαλούς </w:t>
      </w:r>
      <w:proofErr w:type="spellStart"/>
      <w:r w:rsidRPr="009C16F9">
        <w:rPr>
          <w:rFonts w:cstheme="minorHAnsi"/>
          <w:sz w:val="24"/>
          <w:szCs w:val="24"/>
          <w:lang w:val="el-GR"/>
        </w:rPr>
        <w:t>προσπελασιμότητας</w:t>
      </w:r>
      <w:proofErr w:type="spellEnd"/>
      <w:r w:rsidRPr="009C16F9">
        <w:rPr>
          <w:rFonts w:cstheme="minorHAnsi"/>
          <w:sz w:val="24"/>
          <w:szCs w:val="24"/>
          <w:lang w:val="el-GR"/>
        </w:rPr>
        <w:t xml:space="preserve"> στις γεωργικές εκμεταλλεύσεις, στις αγροτικές περιοχές, καθ’ όλη τη διάρκεια του χρόνου,  ήταν ιδιαίτερα αυξημένη. </w:t>
      </w:r>
      <w:r w:rsidRPr="000E7CAA">
        <w:rPr>
          <w:rFonts w:cstheme="minorHAnsi"/>
          <w:bCs/>
          <w:sz w:val="24"/>
          <w:szCs w:val="24"/>
          <w:lang w:val="el-GR"/>
        </w:rPr>
        <w:t>Ενδεικτική είναι η ένταξη ήδη 132 έργων με εκτεταμένη  γεωγραφική διασπορά</w:t>
      </w:r>
      <w:r w:rsidRPr="000E7CAA">
        <w:rPr>
          <w:rFonts w:cstheme="minorHAnsi"/>
          <w:sz w:val="24"/>
          <w:szCs w:val="24"/>
          <w:lang w:val="el-GR"/>
        </w:rPr>
        <w:t>.</w:t>
      </w:r>
      <w:r w:rsidRPr="009C16F9">
        <w:rPr>
          <w:rFonts w:cstheme="minorHAnsi"/>
          <w:sz w:val="24"/>
          <w:szCs w:val="24"/>
          <w:lang w:val="el-GR"/>
        </w:rPr>
        <w:t xml:space="preserve"> Πρόκειται για μία δράση η οποία με την παράλληλη βελτίωση και εκσυγχρονισμό των καλλιεργητικών μεθόδων (πρόσβαση μηχανών, εύκολη διακίνηση της παραγωγής </w:t>
      </w:r>
      <w:proofErr w:type="spellStart"/>
      <w:r w:rsidRPr="009C16F9">
        <w:rPr>
          <w:rFonts w:cstheme="minorHAnsi"/>
          <w:sz w:val="24"/>
          <w:szCs w:val="24"/>
          <w:lang w:val="el-GR"/>
        </w:rPr>
        <w:t>κλπ</w:t>
      </w:r>
      <w:proofErr w:type="spellEnd"/>
      <w:r w:rsidRPr="009C16F9">
        <w:rPr>
          <w:rFonts w:cstheme="minorHAnsi"/>
          <w:sz w:val="24"/>
          <w:szCs w:val="24"/>
          <w:lang w:val="el-GR"/>
        </w:rPr>
        <w:t xml:space="preserve">) συμβάλλει τα μέγιστα στη βελτίωση της </w:t>
      </w:r>
      <w:r w:rsidRPr="009C16F9">
        <w:rPr>
          <w:rFonts w:cstheme="minorHAnsi"/>
          <w:sz w:val="24"/>
          <w:szCs w:val="24"/>
          <w:lang w:val="el-GR"/>
        </w:rPr>
        <w:lastRenderedPageBreak/>
        <w:t>ανταγωνιστικότητας των εκμεταλλεύσεων, με θετικές επιπτώσεις στο αγροτικό εισόδημα της χώρας.</w:t>
      </w:r>
    </w:p>
    <w:p w14:paraId="2A8F0A13" w14:textId="77777777" w:rsidR="009C16F9" w:rsidRPr="009C16F9" w:rsidRDefault="009C16F9" w:rsidP="009C16F9">
      <w:pPr>
        <w:pStyle w:val="ListParagraph"/>
        <w:numPr>
          <w:ilvl w:val="0"/>
          <w:numId w:val="1"/>
        </w:numPr>
        <w:ind w:left="426"/>
        <w:jc w:val="both"/>
        <w:rPr>
          <w:rFonts w:cstheme="minorHAnsi"/>
          <w:sz w:val="24"/>
          <w:szCs w:val="24"/>
          <w:lang w:val="el-GR"/>
        </w:rPr>
      </w:pPr>
      <w:r w:rsidRPr="009C16F9">
        <w:rPr>
          <w:rFonts w:cstheme="minorHAnsi"/>
          <w:sz w:val="24"/>
          <w:szCs w:val="24"/>
          <w:lang w:val="el-GR"/>
        </w:rPr>
        <w:t xml:space="preserve">Ιδιαίτερα μεγάλη ήταν η ανταπόκριση των Δικαιούχων και στην Πρόσκληση </w:t>
      </w:r>
      <w:r w:rsidRPr="009C16F9">
        <w:rPr>
          <w:rFonts w:cstheme="minorHAnsi"/>
          <w:sz w:val="24"/>
          <w:szCs w:val="24"/>
        </w:rPr>
        <w:t>V</w:t>
      </w:r>
      <w:r w:rsidRPr="009C16F9">
        <w:rPr>
          <w:rFonts w:cstheme="minorHAnsi"/>
          <w:sz w:val="24"/>
          <w:szCs w:val="24"/>
          <w:lang w:val="el-GR"/>
        </w:rPr>
        <w:t xml:space="preserve"> για: (α) την </w:t>
      </w:r>
      <w:proofErr w:type="spellStart"/>
      <w:r w:rsidRPr="009C16F9">
        <w:rPr>
          <w:rFonts w:cstheme="minorHAnsi"/>
          <w:sz w:val="24"/>
          <w:szCs w:val="24"/>
          <w:lang w:val="el-GR"/>
        </w:rPr>
        <w:t>επανάχρηση</w:t>
      </w:r>
      <w:proofErr w:type="spellEnd"/>
      <w:r w:rsidRPr="009C16F9">
        <w:rPr>
          <w:rFonts w:cstheme="minorHAnsi"/>
          <w:sz w:val="24"/>
          <w:szCs w:val="24"/>
          <w:lang w:val="el-GR"/>
        </w:rPr>
        <w:t xml:space="preserve"> δημοτικών κτιρίων, αρχιτεκτονικής αξίας και πολιτιστικού ενδιαφέροντος, (β) την </w:t>
      </w:r>
      <w:proofErr w:type="spellStart"/>
      <w:r w:rsidRPr="009C16F9">
        <w:rPr>
          <w:rFonts w:cstheme="minorHAnsi"/>
          <w:sz w:val="24"/>
          <w:szCs w:val="24"/>
          <w:lang w:val="el-GR"/>
        </w:rPr>
        <w:t>επανάχρηση</w:t>
      </w:r>
      <w:proofErr w:type="spellEnd"/>
      <w:r w:rsidRPr="009C16F9">
        <w:rPr>
          <w:rFonts w:cstheme="minorHAnsi"/>
          <w:sz w:val="24"/>
          <w:szCs w:val="24"/>
          <w:lang w:val="el-GR"/>
        </w:rPr>
        <w:t xml:space="preserve"> ανενεργών εμβληματικών δημοτικών κτιρίων, άνω των 100 τ.μ. που βρίσκονται εντός οικισμού, (γ) την κατασκευή – ανέγερση νέων δημαρχιακών κτιρίων ή/και επέκταση υφιστάμενων και (δ) την ανέγερση ή επέκταση σχολικών κτιρίων προσχολικής, πρωτοβάθμιας και δευτεροβάθμιας εκπαίδευσης (γυμνάσια, γενικά λύκεια (ΓΕΛ), επαγγελματικά λύκεια (ΕΠΑΛ)) και ειδικών σχολείων. Το Πρόγραμμα ήδη αριθμεί 20 ενταγμένα – σημαντικά έργα. </w:t>
      </w:r>
    </w:p>
    <w:p w14:paraId="4C824ED2" w14:textId="77777777" w:rsidR="009C16F9" w:rsidRPr="000E7CAA" w:rsidRDefault="009C16F9" w:rsidP="009C16F9">
      <w:pPr>
        <w:spacing w:line="276" w:lineRule="auto"/>
        <w:jc w:val="both"/>
        <w:rPr>
          <w:rFonts w:cstheme="minorHAnsi"/>
          <w:bCs/>
          <w:sz w:val="24"/>
          <w:szCs w:val="24"/>
          <w:lang w:val="el-GR"/>
        </w:rPr>
      </w:pPr>
      <w:r w:rsidRPr="000E7CAA">
        <w:rPr>
          <w:rFonts w:cstheme="minorHAnsi"/>
          <w:bCs/>
          <w:sz w:val="24"/>
          <w:szCs w:val="24"/>
          <w:lang w:val="el-GR"/>
        </w:rPr>
        <w:t xml:space="preserve">Από τα παραπάνω προκύπτει ότι το Πρόγραμμα </w:t>
      </w:r>
      <w:r w:rsidR="000E7CAA" w:rsidRPr="000E7CAA">
        <w:rPr>
          <w:rFonts w:cstheme="minorHAnsi"/>
          <w:bCs/>
          <w:sz w:val="24"/>
          <w:szCs w:val="24"/>
          <w:lang w:val="el-GR"/>
        </w:rPr>
        <w:t>«</w:t>
      </w:r>
      <w:proofErr w:type="spellStart"/>
      <w:r w:rsidRPr="000E7CAA">
        <w:rPr>
          <w:rFonts w:cstheme="minorHAnsi"/>
          <w:bCs/>
          <w:sz w:val="24"/>
          <w:szCs w:val="24"/>
          <w:lang w:val="el-GR"/>
        </w:rPr>
        <w:t>ΦιλόΔημος</w:t>
      </w:r>
      <w:proofErr w:type="spellEnd"/>
      <w:r w:rsidR="000E7CAA" w:rsidRPr="000E7CAA">
        <w:rPr>
          <w:rFonts w:cstheme="minorHAnsi"/>
          <w:bCs/>
          <w:sz w:val="24"/>
          <w:szCs w:val="24"/>
          <w:lang w:val="el-GR"/>
        </w:rPr>
        <w:t>» αποτελεί ένα</w:t>
      </w:r>
      <w:r w:rsidRPr="000E7CAA">
        <w:rPr>
          <w:rFonts w:cstheme="minorHAnsi"/>
          <w:bCs/>
          <w:sz w:val="24"/>
          <w:szCs w:val="24"/>
          <w:lang w:val="el-GR"/>
        </w:rPr>
        <w:t xml:space="preserve"> πολύ σημαντικό </w:t>
      </w:r>
      <w:r w:rsidR="000E7CAA" w:rsidRPr="000E7CAA">
        <w:rPr>
          <w:rFonts w:cstheme="minorHAnsi"/>
          <w:bCs/>
          <w:sz w:val="24"/>
          <w:szCs w:val="24"/>
          <w:lang w:val="el-GR"/>
        </w:rPr>
        <w:t>εργαλεί</w:t>
      </w:r>
      <w:r w:rsidRPr="000E7CAA">
        <w:rPr>
          <w:rFonts w:cstheme="minorHAnsi"/>
          <w:bCs/>
          <w:sz w:val="24"/>
          <w:szCs w:val="24"/>
          <w:lang w:val="el-GR"/>
        </w:rPr>
        <w:t xml:space="preserve">ο στην προσπάθεια επίτευξης βιώσιμων συνθηκών διαβίωσης των πολιτών στους Δήμους της χώρας. Ως τέτοιο έχει ήδη αγκαλιαστεί και χαίρει εκτίμησης από όλους τους Φορείς της Αυτοδιοίκησης. </w:t>
      </w:r>
    </w:p>
    <w:p w14:paraId="3E16B8EA" w14:textId="77777777" w:rsidR="00964EC4" w:rsidRDefault="009C16F9" w:rsidP="00964EC4">
      <w:pPr>
        <w:spacing w:line="276" w:lineRule="auto"/>
        <w:jc w:val="both"/>
        <w:rPr>
          <w:rFonts w:cstheme="minorHAnsi"/>
          <w:bCs/>
          <w:sz w:val="24"/>
          <w:szCs w:val="24"/>
          <w:lang w:val="el-GR"/>
        </w:rPr>
      </w:pPr>
      <w:r w:rsidRPr="000E7CAA">
        <w:rPr>
          <w:rFonts w:cstheme="minorHAnsi"/>
          <w:bCs/>
          <w:sz w:val="24"/>
          <w:szCs w:val="24"/>
          <w:lang w:val="el-GR"/>
        </w:rPr>
        <w:t xml:space="preserve">Πρόκειται για ένα χρηματοδοτικό εργαλείο στο οποίο υπέβαλαν αιτήσεις Δικαιούχοι μετά από μία διαδικασία εξειδίκευσης δράσεων και έκδοσης Προσκλήσεων που χαρακτηρίστηκαν από στέρεο τεχνικό υπόβαθρο, διαβούλευση, ενώ δόθηκε επαρκής χρόνο προετοιμασίας. Οι προτάσεις αξιολογήθηκαν άμεσα χωρίς να γίνει έκπτωση στα κριτήρια αξιολόγησης και στην ωριμότητα και σκοπιμότητα των έργων. </w:t>
      </w:r>
    </w:p>
    <w:p w14:paraId="08C0AEB2" w14:textId="77777777" w:rsidR="009C16F9" w:rsidRDefault="00964EC4" w:rsidP="009C16F9">
      <w:pPr>
        <w:spacing w:line="276" w:lineRule="auto"/>
        <w:jc w:val="both"/>
        <w:rPr>
          <w:rFonts w:cstheme="minorHAnsi"/>
          <w:bCs/>
          <w:sz w:val="24"/>
          <w:szCs w:val="24"/>
          <w:lang w:val="el-GR"/>
        </w:rPr>
      </w:pPr>
      <w:r>
        <w:rPr>
          <w:rFonts w:cstheme="minorHAnsi"/>
          <w:bCs/>
          <w:sz w:val="24"/>
          <w:szCs w:val="24"/>
          <w:lang w:val="el-GR"/>
        </w:rPr>
        <w:t xml:space="preserve">Με την υπ’ </w:t>
      </w:r>
      <w:proofErr w:type="spellStart"/>
      <w:r>
        <w:rPr>
          <w:rFonts w:cstheme="minorHAnsi"/>
          <w:bCs/>
          <w:sz w:val="24"/>
          <w:szCs w:val="24"/>
          <w:lang w:val="el-GR"/>
        </w:rPr>
        <w:t>αρ</w:t>
      </w:r>
      <w:proofErr w:type="spellEnd"/>
      <w:r>
        <w:rPr>
          <w:rFonts w:cstheme="minorHAnsi"/>
          <w:bCs/>
          <w:sz w:val="24"/>
          <w:szCs w:val="24"/>
          <w:lang w:val="el-GR"/>
        </w:rPr>
        <w:t xml:space="preserve">. </w:t>
      </w:r>
      <w:proofErr w:type="spellStart"/>
      <w:r>
        <w:rPr>
          <w:rFonts w:cstheme="minorHAnsi"/>
          <w:bCs/>
          <w:sz w:val="24"/>
          <w:szCs w:val="24"/>
          <w:lang w:val="el-GR"/>
        </w:rPr>
        <w:t>πρωτ</w:t>
      </w:r>
      <w:proofErr w:type="spellEnd"/>
      <w:r>
        <w:rPr>
          <w:rFonts w:cstheme="minorHAnsi"/>
          <w:bCs/>
          <w:sz w:val="24"/>
          <w:szCs w:val="24"/>
          <w:lang w:val="el-GR"/>
        </w:rPr>
        <w:t>. Ε/218/8-10-2019 εγκύκλιο, που αναρτήθηκε στη Διαύγεια, καλούνται μεταξύ άλλων και οι Δήμοι να καταρτίσουν πρόγραμμα προβολής του έτους 2020, στο οποίο προφανώς θα συμπεριληφθούν τα έργα και οι δράσεις του Προγράμματος «Φιλόδημος». Πέραν, όμως, της επικοινωνίας και της διαφημιστικής δραστηριότητας, σ</w:t>
      </w:r>
      <w:r w:rsidR="009C16F9" w:rsidRPr="000E7CAA">
        <w:rPr>
          <w:rFonts w:cstheme="minorHAnsi"/>
          <w:bCs/>
          <w:sz w:val="24"/>
          <w:szCs w:val="24"/>
          <w:lang w:val="el-GR"/>
        </w:rPr>
        <w:t>ε αυτή τη χρονική στιγμή, οι δημοπρατήσεις έργων πληθαίνουν, το πρόγραμμα δημιουργεί υποχρεώσεις</w:t>
      </w:r>
      <w:r w:rsidR="00CA4D63">
        <w:rPr>
          <w:rFonts w:cstheme="minorHAnsi"/>
          <w:bCs/>
          <w:sz w:val="24"/>
          <w:szCs w:val="24"/>
          <w:lang w:val="el-GR"/>
        </w:rPr>
        <w:t xml:space="preserve"> </w:t>
      </w:r>
      <w:r w:rsidR="009C16F9" w:rsidRPr="000E7CAA">
        <w:rPr>
          <w:rFonts w:cstheme="minorHAnsi"/>
          <w:bCs/>
          <w:sz w:val="24"/>
          <w:szCs w:val="24"/>
          <w:lang w:val="el-GR"/>
        </w:rPr>
        <w:t>και νομικές δεσμεύσεις, ανοίγοντας το δρόμο για την υλοποίηση σημαντικών έργων για τις τοπικές κοινωνίες</w:t>
      </w:r>
      <w:r w:rsidR="009C16F9" w:rsidRPr="000E7CAA">
        <w:rPr>
          <w:rFonts w:cstheme="minorHAnsi"/>
          <w:sz w:val="24"/>
          <w:szCs w:val="24"/>
          <w:lang w:val="el-GR"/>
        </w:rPr>
        <w:t xml:space="preserve">. </w:t>
      </w:r>
      <w:r w:rsidR="009C16F9" w:rsidRPr="00CA4D63">
        <w:rPr>
          <w:rFonts w:cstheme="minorHAnsi"/>
          <w:b/>
          <w:sz w:val="24"/>
          <w:szCs w:val="24"/>
          <w:lang w:val="el-GR"/>
        </w:rPr>
        <w:t>Η απρόσκοπτη συνέχιση της αξιολόγησης προτάσεων και ιδίως της παρακολούθησης της εξέλιξης των ήδη ενταγμένων έργων, αποτελεί επιτακτική ανάγκη για την ομαλή εξέλιξη και επιτυχία του Προγράμματος</w:t>
      </w:r>
      <w:r w:rsidR="009C16F9" w:rsidRPr="000E7CAA">
        <w:rPr>
          <w:rFonts w:cstheme="minorHAnsi"/>
          <w:bCs/>
          <w:sz w:val="24"/>
          <w:szCs w:val="24"/>
          <w:lang w:val="el-GR"/>
        </w:rPr>
        <w:t>.</w:t>
      </w:r>
    </w:p>
    <w:p w14:paraId="62FA934A" w14:textId="77777777" w:rsidR="00FE24EA" w:rsidRDefault="00FE24EA" w:rsidP="009C16F9">
      <w:pPr>
        <w:spacing w:line="276" w:lineRule="auto"/>
        <w:jc w:val="both"/>
        <w:rPr>
          <w:rFonts w:cstheme="minorHAnsi"/>
          <w:bCs/>
          <w:sz w:val="24"/>
          <w:szCs w:val="24"/>
          <w:lang w:val="el-GR"/>
        </w:rPr>
      </w:pPr>
    </w:p>
    <w:p w14:paraId="41F179AA" w14:textId="77777777" w:rsidR="00FE24EA" w:rsidRDefault="00FE24EA" w:rsidP="009C16F9">
      <w:pPr>
        <w:spacing w:line="276" w:lineRule="auto"/>
        <w:jc w:val="both"/>
        <w:rPr>
          <w:rFonts w:cstheme="minorHAnsi"/>
          <w:bCs/>
          <w:sz w:val="24"/>
          <w:szCs w:val="24"/>
          <w:lang w:val="el-GR"/>
        </w:rPr>
      </w:pPr>
    </w:p>
    <w:p w14:paraId="67D54B4B" w14:textId="77777777" w:rsidR="00FE24EA" w:rsidRDefault="00FE24EA" w:rsidP="009C16F9">
      <w:pPr>
        <w:spacing w:line="276" w:lineRule="auto"/>
        <w:jc w:val="both"/>
        <w:rPr>
          <w:rFonts w:cstheme="minorHAnsi"/>
          <w:bCs/>
          <w:sz w:val="24"/>
          <w:szCs w:val="24"/>
          <w:lang w:val="el-GR"/>
        </w:rPr>
      </w:pPr>
    </w:p>
    <w:p w14:paraId="7CB66298" w14:textId="77777777" w:rsidR="00FE24EA" w:rsidRDefault="00FE24EA" w:rsidP="009C16F9">
      <w:pPr>
        <w:spacing w:line="276" w:lineRule="auto"/>
        <w:jc w:val="both"/>
        <w:rPr>
          <w:rFonts w:cstheme="minorHAnsi"/>
          <w:bCs/>
          <w:sz w:val="24"/>
          <w:szCs w:val="24"/>
          <w:lang w:val="el-GR"/>
        </w:rPr>
      </w:pPr>
    </w:p>
    <w:p w14:paraId="7BF16610" w14:textId="77777777" w:rsidR="00FE24EA" w:rsidRPr="00C5432A" w:rsidRDefault="00FE24EA" w:rsidP="009C16F9">
      <w:pPr>
        <w:spacing w:line="276" w:lineRule="auto"/>
        <w:jc w:val="both"/>
        <w:rPr>
          <w:rFonts w:cstheme="minorHAnsi"/>
          <w:bCs/>
          <w:sz w:val="24"/>
          <w:szCs w:val="24"/>
          <w:lang w:val="el-GR"/>
        </w:rPr>
      </w:pPr>
    </w:p>
    <w:p w14:paraId="76E575F6" w14:textId="77777777" w:rsidR="009C16F9" w:rsidRPr="009C16F9" w:rsidRDefault="000E7CAA" w:rsidP="000E7CAA">
      <w:pPr>
        <w:pStyle w:val="NormalWeb"/>
        <w:shd w:val="clear" w:color="auto" w:fill="FFFFFF"/>
        <w:jc w:val="both"/>
        <w:rPr>
          <w:rFonts w:asciiTheme="minorHAnsi" w:hAnsiTheme="minorHAnsi" w:cstheme="minorHAnsi"/>
          <w:color w:val="212121"/>
        </w:rPr>
      </w:pPr>
      <w:r>
        <w:rPr>
          <w:rFonts w:asciiTheme="minorHAnsi" w:hAnsiTheme="minorHAnsi" w:cstheme="minorHAnsi"/>
          <w:color w:val="212121"/>
        </w:rPr>
        <w:t>Κατόπιν των ανωτέρω, ε</w:t>
      </w:r>
      <w:r w:rsidR="009C16F9" w:rsidRPr="009C16F9">
        <w:rPr>
          <w:rFonts w:asciiTheme="minorHAnsi" w:hAnsiTheme="minorHAnsi" w:cstheme="minorHAnsi"/>
          <w:color w:val="212121"/>
        </w:rPr>
        <w:t xml:space="preserve">ρωτάται ο </w:t>
      </w:r>
      <w:r>
        <w:rPr>
          <w:rFonts w:asciiTheme="minorHAnsi" w:hAnsiTheme="minorHAnsi" w:cstheme="minorHAnsi"/>
          <w:color w:val="212121"/>
        </w:rPr>
        <w:t xml:space="preserve">κ. </w:t>
      </w:r>
      <w:r w:rsidR="009C16F9" w:rsidRPr="009C16F9">
        <w:rPr>
          <w:rFonts w:asciiTheme="minorHAnsi" w:hAnsiTheme="minorHAnsi" w:cstheme="minorHAnsi"/>
          <w:color w:val="212121"/>
        </w:rPr>
        <w:t>Υπουργός Εσωτερικών:</w:t>
      </w:r>
    </w:p>
    <w:p w14:paraId="5BEB4BD6" w14:textId="77777777" w:rsidR="000E7CAA" w:rsidRDefault="000E7CAA" w:rsidP="000E7CAA">
      <w:pPr>
        <w:pStyle w:val="NormalWeb"/>
        <w:shd w:val="clear" w:color="auto" w:fill="FFFFFF"/>
        <w:jc w:val="both"/>
        <w:rPr>
          <w:rFonts w:asciiTheme="minorHAnsi" w:hAnsiTheme="minorHAnsi" w:cstheme="minorHAnsi"/>
          <w:color w:val="212121"/>
        </w:rPr>
      </w:pPr>
      <w:r>
        <w:rPr>
          <w:rFonts w:asciiTheme="minorHAnsi" w:hAnsiTheme="minorHAnsi" w:cstheme="minorHAnsi"/>
          <w:color w:val="212121"/>
        </w:rPr>
        <w:t xml:space="preserve"> 1. </w:t>
      </w:r>
      <w:r w:rsidR="009C16F9" w:rsidRPr="009C16F9">
        <w:rPr>
          <w:rFonts w:asciiTheme="minorHAnsi" w:hAnsiTheme="minorHAnsi" w:cstheme="minorHAnsi"/>
          <w:color w:val="212121"/>
        </w:rPr>
        <w:t>Γιατί δεν έχουν ακόμα υπογραφεί οι αποφάσεις ένταξης κρίσιμων</w:t>
      </w:r>
      <w:r>
        <w:rPr>
          <w:rFonts w:asciiTheme="minorHAnsi" w:hAnsiTheme="minorHAnsi" w:cstheme="minorHAnsi"/>
          <w:color w:val="212121"/>
        </w:rPr>
        <w:t xml:space="preserve"> έργων ύδρευσης, αντιπλημμυρικής προστασίας</w:t>
      </w:r>
      <w:r w:rsidR="009C16F9" w:rsidRPr="009C16F9">
        <w:rPr>
          <w:rFonts w:asciiTheme="minorHAnsi" w:hAnsiTheme="minorHAnsi" w:cstheme="minorHAnsi"/>
          <w:color w:val="212121"/>
        </w:rPr>
        <w:t>, αποχέτευσης, κτιριακών</w:t>
      </w:r>
      <w:r>
        <w:rPr>
          <w:rFonts w:asciiTheme="minorHAnsi" w:hAnsiTheme="minorHAnsi" w:cstheme="minorHAnsi"/>
          <w:color w:val="212121"/>
        </w:rPr>
        <w:t xml:space="preserve"> υποδομών</w:t>
      </w:r>
      <w:r w:rsidR="009C16F9" w:rsidRPr="009C16F9">
        <w:rPr>
          <w:rFonts w:asciiTheme="minorHAnsi" w:hAnsiTheme="minorHAnsi" w:cstheme="minorHAnsi"/>
          <w:color w:val="212121"/>
        </w:rPr>
        <w:t>, αποκατάστασης Χ</w:t>
      </w:r>
      <w:r>
        <w:rPr>
          <w:rFonts w:asciiTheme="minorHAnsi" w:hAnsiTheme="minorHAnsi" w:cstheme="minorHAnsi"/>
          <w:color w:val="212121"/>
        </w:rPr>
        <w:t>ΑΔΑ και αγροτικής οδοποιίας, προϋπολογισμού</w:t>
      </w:r>
      <w:r w:rsidR="009C16F9" w:rsidRPr="009C16F9">
        <w:rPr>
          <w:rFonts w:asciiTheme="minorHAnsi" w:hAnsiTheme="minorHAnsi" w:cstheme="minorHAnsi"/>
          <w:color w:val="212121"/>
        </w:rPr>
        <w:t xml:space="preserve"> ύψους 100 εκ €, τα οποία </w:t>
      </w:r>
      <w:r>
        <w:rPr>
          <w:rFonts w:asciiTheme="minorHAnsi" w:hAnsiTheme="minorHAnsi" w:cstheme="minorHAnsi"/>
          <w:color w:val="212121"/>
        </w:rPr>
        <w:t>εκκρεμούν προς ένταξη</w:t>
      </w:r>
      <w:r w:rsidR="009C16F9" w:rsidRPr="009C16F9">
        <w:rPr>
          <w:rFonts w:asciiTheme="minorHAnsi" w:hAnsiTheme="minorHAnsi" w:cstheme="minorHAnsi"/>
          <w:color w:val="212121"/>
        </w:rPr>
        <w:t xml:space="preserve"> στο </w:t>
      </w:r>
      <w:r w:rsidR="009C16F9" w:rsidRPr="009C16F9">
        <w:rPr>
          <w:rFonts w:asciiTheme="minorHAnsi" w:hAnsiTheme="minorHAnsi" w:cstheme="minorHAnsi"/>
          <w:color w:val="212121"/>
        </w:rPr>
        <w:lastRenderedPageBreak/>
        <w:t xml:space="preserve">Υπουργείο Εσωτερικών από τον Ιούνιο του 2019; </w:t>
      </w:r>
      <w:r w:rsidR="00CA4D63">
        <w:rPr>
          <w:rFonts w:asciiTheme="minorHAnsi" w:hAnsiTheme="minorHAnsi" w:cstheme="minorHAnsi"/>
          <w:color w:val="212121"/>
        </w:rPr>
        <w:t>Από τον Ιούλιο του 2018 έως τον Ιούνιο του 2019 ο ρυθμός εντάξεων ημερησίως είχε φτάσει τα 3,5 εκ €.</w:t>
      </w:r>
    </w:p>
    <w:p w14:paraId="6CC9391D" w14:textId="77777777" w:rsidR="000E7CAA" w:rsidRDefault="000E7CAA" w:rsidP="000E7CAA">
      <w:pPr>
        <w:pStyle w:val="NormalWeb"/>
        <w:shd w:val="clear" w:color="auto" w:fill="FFFFFF"/>
        <w:jc w:val="both"/>
        <w:rPr>
          <w:rFonts w:asciiTheme="minorHAnsi" w:hAnsiTheme="minorHAnsi" w:cstheme="minorHAnsi"/>
          <w:color w:val="212121"/>
        </w:rPr>
      </w:pPr>
      <w:r>
        <w:rPr>
          <w:rFonts w:asciiTheme="minorHAnsi" w:hAnsiTheme="minorHAnsi" w:cstheme="minorHAnsi"/>
          <w:color w:val="212121"/>
        </w:rPr>
        <w:t>2. Γιατί καθυστερεί η ένταξη έργων</w:t>
      </w:r>
      <w:r w:rsidR="009C16F9" w:rsidRPr="009C16F9">
        <w:rPr>
          <w:rFonts w:asciiTheme="minorHAnsi" w:hAnsiTheme="minorHAnsi" w:cstheme="minorHAnsi"/>
          <w:color w:val="212121"/>
        </w:rPr>
        <w:t xml:space="preserve"> αποκατάστασης των ΧΑΔΑ </w:t>
      </w:r>
      <w:r>
        <w:rPr>
          <w:rFonts w:asciiTheme="minorHAnsi" w:hAnsiTheme="minorHAnsi" w:cstheme="minorHAnsi"/>
          <w:color w:val="212121"/>
        </w:rPr>
        <w:t>τη στιγμή μάλιστα που η χώρα επιβαρύνεται με πρόστιμα λόγω της καταδίκης από το ΔΕΕ;</w:t>
      </w:r>
      <w:r w:rsidR="009C16F9" w:rsidRPr="009C16F9">
        <w:rPr>
          <w:rFonts w:asciiTheme="minorHAnsi" w:hAnsiTheme="minorHAnsi" w:cstheme="minorHAnsi"/>
          <w:color w:val="212121"/>
        </w:rPr>
        <w:t xml:space="preserve"> </w:t>
      </w:r>
      <w:r>
        <w:rPr>
          <w:rFonts w:asciiTheme="minorHAnsi" w:hAnsiTheme="minorHAnsi" w:cstheme="minorHAnsi"/>
          <w:color w:val="212121"/>
        </w:rPr>
        <w:t xml:space="preserve"> </w:t>
      </w:r>
    </w:p>
    <w:p w14:paraId="7EA10EB5" w14:textId="77777777" w:rsidR="009C16F9" w:rsidRPr="009C16F9" w:rsidRDefault="000E7CAA" w:rsidP="000E7CAA">
      <w:pPr>
        <w:pStyle w:val="NormalWeb"/>
        <w:shd w:val="clear" w:color="auto" w:fill="FFFFFF"/>
        <w:jc w:val="both"/>
        <w:rPr>
          <w:rFonts w:asciiTheme="minorHAnsi" w:hAnsiTheme="minorHAnsi" w:cstheme="minorHAnsi"/>
          <w:color w:val="212121"/>
        </w:rPr>
      </w:pPr>
      <w:r>
        <w:rPr>
          <w:rFonts w:asciiTheme="minorHAnsi" w:hAnsiTheme="minorHAnsi" w:cstheme="minorHAnsi"/>
          <w:color w:val="212121"/>
        </w:rPr>
        <w:t>3. Ποιος είναι ο π</w:t>
      </w:r>
      <w:r w:rsidR="009C16F9" w:rsidRPr="009C16F9">
        <w:rPr>
          <w:rFonts w:asciiTheme="minorHAnsi" w:hAnsiTheme="minorHAnsi" w:cstheme="minorHAnsi"/>
          <w:color w:val="212121"/>
        </w:rPr>
        <w:t xml:space="preserve">ρογραμματισμός </w:t>
      </w:r>
      <w:r>
        <w:rPr>
          <w:rFonts w:asciiTheme="minorHAnsi" w:hAnsiTheme="minorHAnsi" w:cstheme="minorHAnsi"/>
          <w:color w:val="212121"/>
        </w:rPr>
        <w:t xml:space="preserve">του Υπουργείου </w:t>
      </w:r>
      <w:r w:rsidR="009C16F9" w:rsidRPr="009C16F9">
        <w:rPr>
          <w:rFonts w:asciiTheme="minorHAnsi" w:hAnsiTheme="minorHAnsi" w:cstheme="minorHAnsi"/>
          <w:color w:val="212121"/>
        </w:rPr>
        <w:t xml:space="preserve">για τα κρίσιμα έργα αντιπλημμυρικής προστασίας που έχουν αιτηθεί </w:t>
      </w:r>
      <w:r>
        <w:rPr>
          <w:rFonts w:asciiTheme="minorHAnsi" w:hAnsiTheme="minorHAnsi" w:cstheme="minorHAnsi"/>
          <w:color w:val="212121"/>
        </w:rPr>
        <w:t xml:space="preserve">χρηματοδότηση από </w:t>
      </w:r>
      <w:r w:rsidR="009C16F9" w:rsidRPr="009C16F9">
        <w:rPr>
          <w:rFonts w:asciiTheme="minorHAnsi" w:hAnsiTheme="minorHAnsi" w:cstheme="minorHAnsi"/>
          <w:color w:val="212121"/>
        </w:rPr>
        <w:t xml:space="preserve">το Πρόγραμμα </w:t>
      </w:r>
      <w:r>
        <w:rPr>
          <w:rFonts w:asciiTheme="minorHAnsi" w:hAnsiTheme="minorHAnsi" w:cstheme="minorHAnsi"/>
          <w:color w:val="212121"/>
        </w:rPr>
        <w:t>«</w:t>
      </w:r>
      <w:proofErr w:type="spellStart"/>
      <w:r w:rsidR="009C16F9" w:rsidRPr="009C16F9">
        <w:rPr>
          <w:rFonts w:asciiTheme="minorHAnsi" w:hAnsiTheme="minorHAnsi" w:cstheme="minorHAnsi"/>
          <w:color w:val="212121"/>
        </w:rPr>
        <w:t>ΦιλόΔημος</w:t>
      </w:r>
      <w:proofErr w:type="spellEnd"/>
      <w:r>
        <w:rPr>
          <w:rFonts w:asciiTheme="minorHAnsi" w:hAnsiTheme="minorHAnsi" w:cstheme="minorHAnsi"/>
          <w:color w:val="212121"/>
        </w:rPr>
        <w:t>»</w:t>
      </w:r>
      <w:r w:rsidR="009C16F9" w:rsidRPr="009C16F9">
        <w:rPr>
          <w:rFonts w:asciiTheme="minorHAnsi" w:hAnsiTheme="minorHAnsi" w:cstheme="minorHAnsi"/>
          <w:color w:val="212121"/>
        </w:rPr>
        <w:t xml:space="preserve"> αλλά δεν επαρκεί ο διαθέσιμος </w:t>
      </w:r>
      <w:r>
        <w:rPr>
          <w:rFonts w:asciiTheme="minorHAnsi" w:hAnsiTheme="minorHAnsi" w:cstheme="minorHAnsi"/>
          <w:color w:val="212121"/>
        </w:rPr>
        <w:t>προϋπολογισμός</w:t>
      </w:r>
      <w:r w:rsidR="009C16F9" w:rsidRPr="009C16F9">
        <w:rPr>
          <w:rFonts w:asciiTheme="minorHAnsi" w:hAnsiTheme="minorHAnsi" w:cstheme="minorHAnsi"/>
          <w:color w:val="212121"/>
        </w:rPr>
        <w:t xml:space="preserve"> της σχετικής Πρόσκλησης ώστε να ενταχθούν ;</w:t>
      </w:r>
    </w:p>
    <w:p w14:paraId="03BE3BA8" w14:textId="77777777" w:rsidR="009C16F9" w:rsidRPr="009C16F9" w:rsidRDefault="000E7CAA" w:rsidP="000E7CAA">
      <w:pPr>
        <w:pStyle w:val="NormalWeb"/>
        <w:shd w:val="clear" w:color="auto" w:fill="FFFFFF"/>
        <w:jc w:val="both"/>
        <w:rPr>
          <w:rFonts w:asciiTheme="minorHAnsi" w:hAnsiTheme="minorHAnsi" w:cstheme="minorHAnsi"/>
          <w:color w:val="212121"/>
        </w:rPr>
      </w:pPr>
      <w:r>
        <w:rPr>
          <w:rFonts w:asciiTheme="minorHAnsi" w:hAnsiTheme="minorHAnsi" w:cstheme="minorHAnsi"/>
          <w:color w:val="212121"/>
        </w:rPr>
        <w:t xml:space="preserve">4. </w:t>
      </w:r>
      <w:r w:rsidR="009C16F9" w:rsidRPr="009C16F9">
        <w:rPr>
          <w:rFonts w:asciiTheme="minorHAnsi" w:hAnsiTheme="minorHAnsi" w:cstheme="minorHAnsi"/>
          <w:color w:val="212121"/>
        </w:rPr>
        <w:t>Υπάρχει συντονισμός ενεργειών στον κρίσιμο τομέα της παρακολούθησης των έργων αμέσως μετ</w:t>
      </w:r>
      <w:r w:rsidR="00D02F36">
        <w:rPr>
          <w:rFonts w:asciiTheme="minorHAnsi" w:hAnsiTheme="minorHAnsi" w:cstheme="minorHAnsi"/>
          <w:color w:val="212121"/>
        </w:rPr>
        <w:t>ά την ένταξή τους στο Πρόγραμμα</w:t>
      </w:r>
      <w:r w:rsidR="009C16F9" w:rsidRPr="009C16F9">
        <w:rPr>
          <w:rFonts w:asciiTheme="minorHAnsi" w:hAnsiTheme="minorHAnsi" w:cstheme="minorHAnsi"/>
          <w:color w:val="212121"/>
        </w:rPr>
        <w:t xml:space="preserve">; </w:t>
      </w:r>
      <w:proofErr w:type="spellStart"/>
      <w:r w:rsidR="009C16F9" w:rsidRPr="009C16F9">
        <w:rPr>
          <w:rFonts w:asciiTheme="minorHAnsi" w:hAnsiTheme="minorHAnsi" w:cstheme="minorHAnsi"/>
          <w:color w:val="212121"/>
        </w:rPr>
        <w:t>Ποιές</w:t>
      </w:r>
      <w:proofErr w:type="spellEnd"/>
      <w:r w:rsidR="009C16F9" w:rsidRPr="009C16F9">
        <w:rPr>
          <w:rFonts w:asciiTheme="minorHAnsi" w:hAnsiTheme="minorHAnsi" w:cstheme="minorHAnsi"/>
          <w:color w:val="212121"/>
        </w:rPr>
        <w:t xml:space="preserve"> είναι οι ενέργειες για την υποστήριξη των Δικαιούχων του Προγράμματος στη φάση δημοπράτησης και υλοποίησης των ενταγμένων έργων;</w:t>
      </w:r>
    </w:p>
    <w:p w14:paraId="34033FEC" w14:textId="77777777" w:rsidR="009C16F9" w:rsidRPr="009C16F9" w:rsidRDefault="00D02F36" w:rsidP="000E7CAA">
      <w:pPr>
        <w:pStyle w:val="NormalWeb"/>
        <w:shd w:val="clear" w:color="auto" w:fill="FFFFFF"/>
        <w:jc w:val="both"/>
        <w:rPr>
          <w:rFonts w:asciiTheme="minorHAnsi" w:hAnsiTheme="minorHAnsi" w:cstheme="minorHAnsi"/>
          <w:color w:val="212121"/>
        </w:rPr>
      </w:pPr>
      <w:r>
        <w:rPr>
          <w:rFonts w:asciiTheme="minorHAnsi" w:hAnsiTheme="minorHAnsi" w:cstheme="minorHAnsi"/>
          <w:color w:val="212121"/>
        </w:rPr>
        <w:t xml:space="preserve">5. </w:t>
      </w:r>
      <w:r w:rsidR="009C16F9" w:rsidRPr="009C16F9">
        <w:rPr>
          <w:rFonts w:asciiTheme="minorHAnsi" w:hAnsiTheme="minorHAnsi" w:cstheme="minorHAnsi"/>
          <w:color w:val="212121"/>
        </w:rPr>
        <w:t>Ποιες είναι οι προθέσεις του Υπουργείου αναφορικά με την αξιοποίηση των προϊόντων έκπτωσ</w:t>
      </w:r>
      <w:r>
        <w:rPr>
          <w:rFonts w:asciiTheme="minorHAnsi" w:hAnsiTheme="minorHAnsi" w:cstheme="minorHAnsi"/>
          <w:color w:val="212121"/>
        </w:rPr>
        <w:t xml:space="preserve">ης από τα </w:t>
      </w:r>
      <w:proofErr w:type="spellStart"/>
      <w:r>
        <w:rPr>
          <w:rFonts w:asciiTheme="minorHAnsi" w:hAnsiTheme="minorHAnsi" w:cstheme="minorHAnsi"/>
          <w:color w:val="212121"/>
        </w:rPr>
        <w:t>συμβασιοποιημένα</w:t>
      </w:r>
      <w:proofErr w:type="spellEnd"/>
      <w:r>
        <w:rPr>
          <w:rFonts w:asciiTheme="minorHAnsi" w:hAnsiTheme="minorHAnsi" w:cstheme="minorHAnsi"/>
          <w:color w:val="212121"/>
        </w:rPr>
        <w:t xml:space="preserve"> έργα</w:t>
      </w:r>
      <w:r w:rsidR="009C16F9" w:rsidRPr="009C16F9">
        <w:rPr>
          <w:rFonts w:asciiTheme="minorHAnsi" w:hAnsiTheme="minorHAnsi" w:cstheme="minorHAnsi"/>
          <w:color w:val="212121"/>
        </w:rPr>
        <w:t>;</w:t>
      </w:r>
      <w:r>
        <w:rPr>
          <w:rFonts w:asciiTheme="minorHAnsi" w:hAnsiTheme="minorHAnsi" w:cstheme="minorHAnsi"/>
          <w:color w:val="212121"/>
        </w:rPr>
        <w:t xml:space="preserve"> Με ποιο τρόπο θα αξιοποιηθούν οι εκπτώσεις προς όφελος της Τοπικής Αυτοδιοίκησης; </w:t>
      </w:r>
    </w:p>
    <w:p w14:paraId="7BB81ACB" w14:textId="77777777" w:rsidR="00954981" w:rsidRPr="00D02F36" w:rsidRDefault="00D02F36" w:rsidP="00D02F36">
      <w:pPr>
        <w:shd w:val="clear" w:color="auto" w:fill="FFFFFF"/>
        <w:jc w:val="both"/>
        <w:rPr>
          <w:rFonts w:cstheme="minorHAnsi"/>
          <w:color w:val="212121"/>
          <w:sz w:val="24"/>
          <w:szCs w:val="24"/>
          <w:lang w:val="el-GR"/>
        </w:rPr>
      </w:pPr>
      <w:r>
        <w:rPr>
          <w:rFonts w:cstheme="minorHAnsi"/>
          <w:color w:val="212121"/>
          <w:sz w:val="24"/>
          <w:szCs w:val="24"/>
          <w:lang w:val="el-GR"/>
        </w:rPr>
        <w:t xml:space="preserve">6. </w:t>
      </w:r>
      <w:r w:rsidR="009C16F9" w:rsidRPr="009C16F9">
        <w:rPr>
          <w:rFonts w:cstheme="minorHAnsi"/>
          <w:color w:val="212121"/>
          <w:sz w:val="24"/>
          <w:szCs w:val="24"/>
          <w:lang w:val="el-GR"/>
        </w:rPr>
        <w:t>Γιατί έχουν σταματήσει οι εντάξεις στο πρόγραμμα</w:t>
      </w:r>
      <w:hyperlink r:id="rId8" w:tgtFrame="_blank" w:history="1">
        <w:r w:rsidR="009C16F9" w:rsidRPr="009C16F9">
          <w:rPr>
            <w:rStyle w:val="Hyperlink"/>
            <w:rFonts w:cstheme="minorHAnsi"/>
            <w:sz w:val="24"/>
            <w:szCs w:val="24"/>
          </w:rPr>
          <w:t> </w:t>
        </w:r>
        <w:r>
          <w:rPr>
            <w:rStyle w:val="Hyperlink"/>
            <w:rFonts w:cstheme="minorHAnsi"/>
            <w:sz w:val="24"/>
            <w:szCs w:val="24"/>
            <w:lang w:val="el-GR"/>
          </w:rPr>
          <w:t>«</w:t>
        </w:r>
        <w:proofErr w:type="spellStart"/>
        <w:r w:rsidR="009C16F9" w:rsidRPr="009C16F9">
          <w:rPr>
            <w:rStyle w:val="Hyperlink"/>
            <w:rFonts w:cstheme="minorHAnsi"/>
            <w:sz w:val="24"/>
            <w:szCs w:val="24"/>
            <w:lang w:val="el-GR"/>
          </w:rPr>
          <w:t>ΦιλόΔημος</w:t>
        </w:r>
        <w:proofErr w:type="spellEnd"/>
        <w:r w:rsidR="009C16F9" w:rsidRPr="009C16F9">
          <w:rPr>
            <w:rStyle w:val="Hyperlink"/>
            <w:rFonts w:cstheme="minorHAnsi"/>
            <w:sz w:val="24"/>
            <w:szCs w:val="24"/>
            <w:lang w:val="el-GR"/>
          </w:rPr>
          <w:t xml:space="preserve"> ΙΙ</w:t>
        </w:r>
      </w:hyperlink>
      <w:r>
        <w:rPr>
          <w:rFonts w:cstheme="minorHAnsi"/>
          <w:color w:val="212121"/>
          <w:sz w:val="24"/>
          <w:szCs w:val="24"/>
          <w:lang w:val="el-GR"/>
        </w:rPr>
        <w:t>»</w:t>
      </w:r>
      <w:r w:rsidR="009C16F9" w:rsidRPr="009C16F9">
        <w:rPr>
          <w:rFonts w:cstheme="minorHAnsi"/>
          <w:color w:val="212121"/>
          <w:sz w:val="24"/>
          <w:szCs w:val="24"/>
        </w:rPr>
        <w:t> </w:t>
      </w:r>
      <w:r>
        <w:rPr>
          <w:rFonts w:cstheme="minorHAnsi"/>
          <w:color w:val="212121"/>
          <w:sz w:val="24"/>
          <w:szCs w:val="24"/>
          <w:lang w:val="el-GR"/>
        </w:rPr>
        <w:t>έργων που αφορούν</w:t>
      </w:r>
      <w:r w:rsidR="009C16F9" w:rsidRPr="009C16F9">
        <w:rPr>
          <w:rFonts w:cstheme="minorHAnsi"/>
          <w:color w:val="212121"/>
          <w:sz w:val="24"/>
          <w:szCs w:val="24"/>
          <w:lang w:val="el-GR"/>
        </w:rPr>
        <w:t xml:space="preserve"> </w:t>
      </w:r>
      <w:r>
        <w:rPr>
          <w:rFonts w:cstheme="minorHAnsi"/>
          <w:color w:val="212121"/>
          <w:sz w:val="24"/>
          <w:szCs w:val="24"/>
          <w:lang w:val="el-GR"/>
        </w:rPr>
        <w:t>στη</w:t>
      </w:r>
      <w:r w:rsidR="009C16F9" w:rsidRPr="009C16F9">
        <w:rPr>
          <w:rFonts w:cstheme="minorHAnsi"/>
          <w:color w:val="212121"/>
          <w:sz w:val="24"/>
          <w:szCs w:val="24"/>
          <w:lang w:val="el-GR"/>
        </w:rPr>
        <w:t xml:space="preserve"> συντήρηση υφισταμένων ή κατασκευή νέων αθλητικών εγκαταστάσεων,</w:t>
      </w:r>
      <w:r>
        <w:rPr>
          <w:rFonts w:cstheme="minorHAnsi"/>
          <w:color w:val="212121"/>
          <w:sz w:val="24"/>
          <w:szCs w:val="24"/>
          <w:lang w:val="el-GR"/>
        </w:rPr>
        <w:t xml:space="preserve"> </w:t>
      </w:r>
      <w:r w:rsidR="009C16F9" w:rsidRPr="009C16F9">
        <w:rPr>
          <w:rFonts w:cstheme="minorHAnsi"/>
          <w:color w:val="212529"/>
          <w:sz w:val="24"/>
          <w:szCs w:val="24"/>
          <w:lang w:val="el-GR"/>
        </w:rPr>
        <w:t>βελτίωσης και συντήρησης των λιμενικών υποδομών των Δημοτικών Λιμενικών Ταμείων και των Δημοτικών Λιμενικών Γραφείων,</w:t>
      </w:r>
      <w:r w:rsidR="009C16F9" w:rsidRPr="009C16F9">
        <w:rPr>
          <w:rFonts w:cstheme="minorHAnsi"/>
          <w:color w:val="212529"/>
          <w:sz w:val="24"/>
          <w:szCs w:val="24"/>
        </w:rPr>
        <w:t> </w:t>
      </w:r>
      <w:r>
        <w:rPr>
          <w:rFonts w:cstheme="minorHAnsi"/>
          <w:color w:val="212529"/>
          <w:sz w:val="24"/>
          <w:szCs w:val="24"/>
          <w:lang w:val="el-GR"/>
        </w:rPr>
        <w:t>κ</w:t>
      </w:r>
      <w:r w:rsidR="009C16F9" w:rsidRPr="009C16F9">
        <w:rPr>
          <w:rFonts w:cstheme="minorHAnsi"/>
          <w:color w:val="212529"/>
          <w:sz w:val="24"/>
          <w:szCs w:val="24"/>
          <w:lang w:val="el-GR"/>
        </w:rPr>
        <w:t>ατασκευή ραμπών και χώρων υγιεινής για την πρόσβαση και την</w:t>
      </w:r>
      <w:r>
        <w:rPr>
          <w:rFonts w:cstheme="minorHAnsi"/>
          <w:color w:val="212121"/>
          <w:sz w:val="24"/>
          <w:szCs w:val="24"/>
          <w:lang w:val="el-GR"/>
        </w:rPr>
        <w:t xml:space="preserve"> </w:t>
      </w:r>
      <w:r w:rsidR="009C16F9" w:rsidRPr="009C16F9">
        <w:rPr>
          <w:rFonts w:cstheme="minorHAnsi"/>
          <w:color w:val="212529"/>
          <w:sz w:val="24"/>
          <w:szCs w:val="24"/>
          <w:shd w:val="clear" w:color="auto" w:fill="FFFFFF"/>
          <w:lang w:val="el-GR"/>
        </w:rPr>
        <w:t>εξυπηρέτηση ΑΜΕΑ σε σχολικές μονάδες,</w:t>
      </w:r>
      <w:r w:rsidRPr="00D02F36">
        <w:rPr>
          <w:rFonts w:cstheme="minorHAnsi"/>
          <w:color w:val="212529"/>
          <w:sz w:val="24"/>
          <w:szCs w:val="24"/>
          <w:shd w:val="clear" w:color="auto" w:fill="FFFFFF"/>
          <w:lang w:val="el-GR"/>
        </w:rPr>
        <w:t xml:space="preserve"> </w:t>
      </w:r>
      <w:proofErr w:type="spellStart"/>
      <w:r w:rsidRPr="00D02F36">
        <w:rPr>
          <w:rFonts w:cstheme="minorHAnsi"/>
          <w:color w:val="212529"/>
          <w:sz w:val="24"/>
          <w:szCs w:val="24"/>
          <w:shd w:val="clear" w:color="auto" w:fill="FFFFFF"/>
          <w:lang w:val="el-GR"/>
        </w:rPr>
        <w:t>κλπ</w:t>
      </w:r>
      <w:proofErr w:type="spellEnd"/>
      <w:r w:rsidR="00FE24EA">
        <w:rPr>
          <w:rFonts w:cstheme="minorHAnsi"/>
          <w:color w:val="212529"/>
          <w:sz w:val="24"/>
          <w:szCs w:val="24"/>
          <w:shd w:val="clear" w:color="auto" w:fill="FFFFFF"/>
          <w:lang w:val="el-GR"/>
        </w:rPr>
        <w:t xml:space="preserve"> </w:t>
      </w:r>
      <w:r w:rsidRPr="00D02F36">
        <w:rPr>
          <w:rFonts w:cstheme="minorHAnsi"/>
          <w:color w:val="212529"/>
          <w:sz w:val="24"/>
          <w:szCs w:val="24"/>
          <w:shd w:val="clear" w:color="auto" w:fill="FFFFFF"/>
          <w:lang w:val="el-GR"/>
        </w:rPr>
        <w:t>;  Ποιος</w:t>
      </w:r>
      <w:r>
        <w:rPr>
          <w:rFonts w:cstheme="minorHAnsi"/>
          <w:color w:val="212529"/>
          <w:sz w:val="24"/>
          <w:szCs w:val="24"/>
          <w:shd w:val="clear" w:color="auto" w:fill="FFFFFF"/>
          <w:lang w:val="el-GR"/>
        </w:rPr>
        <w:t xml:space="preserve"> είναι ο προγραμματισμός του Υπουργείου για τις εντάξεις αυτών των έργων; </w:t>
      </w:r>
    </w:p>
    <w:p w14:paraId="60E8EAAF" w14:textId="77777777" w:rsidR="000E7CAA" w:rsidRDefault="000E7CAA" w:rsidP="009C16F9">
      <w:pPr>
        <w:rPr>
          <w:rFonts w:cstheme="minorHAnsi"/>
          <w:color w:val="212529"/>
          <w:sz w:val="24"/>
          <w:szCs w:val="24"/>
          <w:shd w:val="clear" w:color="auto" w:fill="FFFFFF"/>
          <w:lang w:val="el-GR"/>
        </w:rPr>
      </w:pPr>
    </w:p>
    <w:p w14:paraId="62802F09" w14:textId="77777777" w:rsidR="000E7CAA" w:rsidRDefault="000E7CAA" w:rsidP="004773FC">
      <w:pPr>
        <w:spacing w:line="480" w:lineRule="auto"/>
        <w:jc w:val="center"/>
        <w:rPr>
          <w:rFonts w:cstheme="minorHAnsi"/>
          <w:b/>
          <w:color w:val="212529"/>
          <w:sz w:val="24"/>
          <w:szCs w:val="24"/>
          <w:shd w:val="clear" w:color="auto" w:fill="FFFFFF"/>
          <w:lang w:val="el-GR"/>
        </w:rPr>
      </w:pPr>
      <w:r w:rsidRPr="000E7CAA">
        <w:rPr>
          <w:rFonts w:cstheme="minorHAnsi"/>
          <w:b/>
          <w:color w:val="212529"/>
          <w:sz w:val="24"/>
          <w:szCs w:val="24"/>
          <w:shd w:val="clear" w:color="auto" w:fill="FFFFFF"/>
          <w:lang w:val="el-GR"/>
        </w:rPr>
        <w:t>Ο</w:t>
      </w:r>
      <w:r w:rsidR="00C5432A">
        <w:rPr>
          <w:rFonts w:cstheme="minorHAnsi"/>
          <w:b/>
          <w:color w:val="212529"/>
          <w:sz w:val="24"/>
          <w:szCs w:val="24"/>
          <w:shd w:val="clear" w:color="auto" w:fill="FFFFFF"/>
          <w:lang w:val="el-GR"/>
        </w:rPr>
        <w:t>ι</w:t>
      </w:r>
      <w:r w:rsidRPr="000E7CAA">
        <w:rPr>
          <w:rFonts w:cstheme="minorHAnsi"/>
          <w:b/>
          <w:color w:val="212529"/>
          <w:sz w:val="24"/>
          <w:szCs w:val="24"/>
          <w:shd w:val="clear" w:color="auto" w:fill="FFFFFF"/>
          <w:lang w:val="el-GR"/>
        </w:rPr>
        <w:t xml:space="preserve"> ερωτών</w:t>
      </w:r>
      <w:r w:rsidR="00C5432A">
        <w:rPr>
          <w:rFonts w:cstheme="minorHAnsi"/>
          <w:b/>
          <w:color w:val="212529"/>
          <w:sz w:val="24"/>
          <w:szCs w:val="24"/>
          <w:shd w:val="clear" w:color="auto" w:fill="FFFFFF"/>
          <w:lang w:val="el-GR"/>
        </w:rPr>
        <w:t>τες βουλευτέ</w:t>
      </w:r>
      <w:r w:rsidRPr="000E7CAA">
        <w:rPr>
          <w:rFonts w:cstheme="minorHAnsi"/>
          <w:b/>
          <w:color w:val="212529"/>
          <w:sz w:val="24"/>
          <w:szCs w:val="24"/>
          <w:shd w:val="clear" w:color="auto" w:fill="FFFFFF"/>
          <w:lang w:val="el-GR"/>
        </w:rPr>
        <w:t>ς</w:t>
      </w:r>
    </w:p>
    <w:p w14:paraId="6A9968F3" w14:textId="77777777" w:rsidR="00C5432A" w:rsidRDefault="00C5432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Σκουρλέτης Παναγιώτης(Πάνος)</w:t>
      </w:r>
    </w:p>
    <w:p w14:paraId="1A5C15B6" w14:textId="77777777" w:rsidR="00C5432A" w:rsidRDefault="00C5432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 xml:space="preserve">Χαρίτσης </w:t>
      </w:r>
      <w:r w:rsidR="002808CA" w:rsidRPr="002808CA">
        <w:rPr>
          <w:rFonts w:cstheme="minorHAnsi"/>
          <w:b/>
          <w:color w:val="212529"/>
          <w:sz w:val="24"/>
          <w:szCs w:val="24"/>
          <w:shd w:val="clear" w:color="auto" w:fill="FFFFFF"/>
          <w:lang w:val="el-GR"/>
        </w:rPr>
        <w:t xml:space="preserve"> </w:t>
      </w:r>
      <w:r w:rsidR="002808CA">
        <w:rPr>
          <w:rFonts w:cstheme="minorHAnsi"/>
          <w:b/>
          <w:color w:val="212529"/>
          <w:sz w:val="24"/>
          <w:szCs w:val="24"/>
          <w:shd w:val="clear" w:color="auto" w:fill="FFFFFF"/>
          <w:lang w:val="el-GR"/>
        </w:rPr>
        <w:t>Αλέξανδρος(</w:t>
      </w:r>
      <w:r>
        <w:rPr>
          <w:rFonts w:cstheme="minorHAnsi"/>
          <w:b/>
          <w:color w:val="212529"/>
          <w:sz w:val="24"/>
          <w:szCs w:val="24"/>
          <w:shd w:val="clear" w:color="auto" w:fill="FFFFFF"/>
          <w:lang w:val="el-GR"/>
        </w:rPr>
        <w:t>Αλέξης</w:t>
      </w:r>
      <w:r w:rsidR="002808CA">
        <w:rPr>
          <w:rFonts w:cstheme="minorHAnsi"/>
          <w:b/>
          <w:color w:val="212529"/>
          <w:sz w:val="24"/>
          <w:szCs w:val="24"/>
          <w:shd w:val="clear" w:color="auto" w:fill="FFFFFF"/>
          <w:lang w:val="el-GR"/>
        </w:rPr>
        <w:t>)</w:t>
      </w:r>
    </w:p>
    <w:p w14:paraId="59B99C04" w14:textId="77777777" w:rsidR="00372165" w:rsidRDefault="00372165"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Αβραμάκης Ελευθέριος</w:t>
      </w:r>
    </w:p>
    <w:p w14:paraId="40A3286F"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Αγαθοπούλου Ειρήνη-Ελένη</w:t>
      </w:r>
    </w:p>
    <w:p w14:paraId="4E530224" w14:textId="77777777" w:rsidR="00BC436C" w:rsidRDefault="00BC436C"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Αλεξιάδης Τρύφωνας</w:t>
      </w:r>
    </w:p>
    <w:p w14:paraId="6185F46B"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Βαρδάκης Σωκράτης</w:t>
      </w:r>
    </w:p>
    <w:p w14:paraId="6AFEA8CD"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Βέττα Καλλιόπη</w:t>
      </w:r>
    </w:p>
    <w:p w14:paraId="469EAAF2"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lastRenderedPageBreak/>
        <w:t>Γιαννούλης Χρήστος</w:t>
      </w:r>
    </w:p>
    <w:p w14:paraId="5010E419" w14:textId="77777777" w:rsidR="006107B6" w:rsidRDefault="006107B6"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Γκαρά Αναστασία</w:t>
      </w:r>
    </w:p>
    <w:p w14:paraId="330B7949" w14:textId="77777777" w:rsidR="00372165" w:rsidRDefault="00372165"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Γκιόλας Γιάννης</w:t>
      </w:r>
    </w:p>
    <w:p w14:paraId="5A38B611" w14:textId="77777777" w:rsidR="009C38E3" w:rsidRDefault="009C38E3"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Δραγασάκης Γιάννης</w:t>
      </w:r>
    </w:p>
    <w:p w14:paraId="4CAD8E21" w14:textId="77777777" w:rsidR="00372165" w:rsidRDefault="00372165"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Δρ</w:t>
      </w:r>
      <w:r w:rsidR="00580D50">
        <w:rPr>
          <w:rFonts w:cstheme="minorHAnsi"/>
          <w:b/>
          <w:color w:val="212529"/>
          <w:sz w:val="24"/>
          <w:szCs w:val="24"/>
          <w:shd w:val="clear" w:color="auto" w:fill="FFFFFF"/>
          <w:lang w:val="el-GR"/>
        </w:rPr>
        <w:t>ίτσας Θεόδωρο</w:t>
      </w:r>
      <w:r>
        <w:rPr>
          <w:rFonts w:cstheme="minorHAnsi"/>
          <w:b/>
          <w:color w:val="212529"/>
          <w:sz w:val="24"/>
          <w:szCs w:val="24"/>
          <w:shd w:val="clear" w:color="auto" w:fill="FFFFFF"/>
          <w:lang w:val="el-GR"/>
        </w:rPr>
        <w:t>ς</w:t>
      </w:r>
    </w:p>
    <w:p w14:paraId="39326DAB" w14:textId="77777777" w:rsidR="00372165" w:rsidRDefault="00372165"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Ζεϊμπέκ Χουσεϊν</w:t>
      </w:r>
    </w:p>
    <w:p w14:paraId="5EA5FF41" w14:textId="77777777" w:rsidR="00F6784C" w:rsidRDefault="00F6784C"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Ηγουμενίδης Νίκος</w:t>
      </w:r>
    </w:p>
    <w:p w14:paraId="213E3B0E" w14:textId="77777777" w:rsidR="003D166D" w:rsidRDefault="003D166D"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Θραψανιώτης Μαν</w:t>
      </w:r>
      <w:r w:rsidR="005170DA">
        <w:rPr>
          <w:rFonts w:cstheme="minorHAnsi"/>
          <w:b/>
          <w:color w:val="212529"/>
          <w:sz w:val="24"/>
          <w:szCs w:val="24"/>
          <w:shd w:val="clear" w:color="auto" w:fill="FFFFFF"/>
          <w:lang w:val="el-GR"/>
        </w:rPr>
        <w:t>ό</w:t>
      </w:r>
      <w:r>
        <w:rPr>
          <w:rFonts w:cstheme="minorHAnsi"/>
          <w:b/>
          <w:color w:val="212529"/>
          <w:sz w:val="24"/>
          <w:szCs w:val="24"/>
          <w:shd w:val="clear" w:color="auto" w:fill="FFFFFF"/>
          <w:lang w:val="el-GR"/>
        </w:rPr>
        <w:t>λης</w:t>
      </w:r>
    </w:p>
    <w:p w14:paraId="6B6C44C7" w14:textId="77777777" w:rsidR="00372165" w:rsidRDefault="00372165"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Καλαματιανός Διονύσης</w:t>
      </w:r>
    </w:p>
    <w:p w14:paraId="33976514"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Καρασαρλίδου Φρόσω</w:t>
      </w:r>
    </w:p>
    <w:p w14:paraId="520D8190" w14:textId="77777777" w:rsidR="00D03A7E" w:rsidRPr="00D03A7E" w:rsidRDefault="00D03A7E"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Κασιμάτη  Ειρήνη(Νίνα)</w:t>
      </w:r>
    </w:p>
    <w:p w14:paraId="6B304E39" w14:textId="77777777" w:rsidR="00F6784C" w:rsidRDefault="00F6784C"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Κάτσης Μάριος</w:t>
      </w:r>
    </w:p>
    <w:p w14:paraId="3735C38A" w14:textId="77777777" w:rsidR="00372165" w:rsidRDefault="00372165"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Καφαντάρη Χαρά</w:t>
      </w:r>
    </w:p>
    <w:p w14:paraId="249B4F17"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Λάππας Σπυρίδων</w:t>
      </w:r>
    </w:p>
    <w:p w14:paraId="7535E38B" w14:textId="77777777" w:rsidR="00372165" w:rsidRDefault="00372165"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Μάλαμα Κυριακή</w:t>
      </w:r>
    </w:p>
    <w:p w14:paraId="2F67428F" w14:textId="77777777" w:rsidR="00D33629" w:rsidRDefault="00D33629"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Μαμουλάκης Χαράλαμπος</w:t>
      </w:r>
    </w:p>
    <w:p w14:paraId="2771338E" w14:textId="77777777" w:rsidR="00F6784C" w:rsidRDefault="00F6784C"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Μάρκου Κώστας</w:t>
      </w:r>
    </w:p>
    <w:p w14:paraId="3CD38CA1"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Μεϊκόπουλος Αλέξανδρος</w:t>
      </w:r>
    </w:p>
    <w:p w14:paraId="1AC6BF41" w14:textId="77777777" w:rsidR="00AD039B" w:rsidRDefault="00AD039B"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Μιχαηλίδης Ανδρέας</w:t>
      </w:r>
    </w:p>
    <w:p w14:paraId="55A3CE05" w14:textId="77777777" w:rsidR="00F6784C" w:rsidRDefault="00F6784C"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lastRenderedPageBreak/>
        <w:t>Μπάρκας Κωνσταντίνος</w:t>
      </w:r>
    </w:p>
    <w:p w14:paraId="08237282"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Νοτοπούλου Αικατερίνη</w:t>
      </w:r>
    </w:p>
    <w:p w14:paraId="52EC8CCA"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Ξενογιαννακοπούλου Μαριλίζα</w:t>
      </w:r>
    </w:p>
    <w:p w14:paraId="57E1F7A0"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Παπανάτσιου Αικατερίνη</w:t>
      </w:r>
    </w:p>
    <w:p w14:paraId="12E59197" w14:textId="77777777" w:rsidR="006C3EA2" w:rsidRDefault="006C3EA2"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Πέρκα Θεοπίστη</w:t>
      </w:r>
    </w:p>
    <w:p w14:paraId="0C0F06E1" w14:textId="77777777" w:rsidR="002467B7" w:rsidRDefault="002467B7"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Πολάκης Παύλος</w:t>
      </w:r>
    </w:p>
    <w:p w14:paraId="3787A1FB"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Σαντορινιός Νεκτάριος</w:t>
      </w:r>
    </w:p>
    <w:p w14:paraId="695DF585"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Σαρακιώτης Ιωάννης</w:t>
      </w:r>
    </w:p>
    <w:p w14:paraId="54A0D944" w14:textId="77777777" w:rsidR="005070E1" w:rsidRDefault="005070E1"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Σκούφα Μπέττυ</w:t>
      </w:r>
    </w:p>
    <w:p w14:paraId="39BBD966"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Σπίρτζης Χρήστος</w:t>
      </w:r>
    </w:p>
    <w:p w14:paraId="768FF3C5" w14:textId="77777777" w:rsidR="00F6784C" w:rsidRPr="00F6784C" w:rsidRDefault="00F6784C"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Συρμαλένιος Νίκος</w:t>
      </w:r>
    </w:p>
    <w:p w14:paraId="0B87C4FB"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Τριανταφυλλίδης Αλέξανδρος</w:t>
      </w:r>
    </w:p>
    <w:p w14:paraId="729C80C3"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Φάμελλος Σωκράτης</w:t>
      </w:r>
    </w:p>
    <w:p w14:paraId="79049FCA" w14:textId="77777777" w:rsidR="00FE24EA" w:rsidRDefault="00FE24E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Φωτίου Θεανώ</w:t>
      </w:r>
    </w:p>
    <w:p w14:paraId="4172F867" w14:textId="77777777" w:rsidR="00372165" w:rsidRDefault="00372165"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Χρηστίδου Ραλλία</w:t>
      </w:r>
    </w:p>
    <w:p w14:paraId="72B0502C" w14:textId="77777777" w:rsidR="002808CA" w:rsidRDefault="002808CA" w:rsidP="004773FC">
      <w:pPr>
        <w:spacing w:line="480" w:lineRule="auto"/>
        <w:jc w:val="center"/>
        <w:rPr>
          <w:rFonts w:cstheme="minorHAnsi"/>
          <w:b/>
          <w:color w:val="212529"/>
          <w:sz w:val="24"/>
          <w:szCs w:val="24"/>
          <w:shd w:val="clear" w:color="auto" w:fill="FFFFFF"/>
          <w:lang w:val="el-GR"/>
        </w:rPr>
      </w:pPr>
      <w:r>
        <w:rPr>
          <w:rFonts w:cstheme="minorHAnsi"/>
          <w:b/>
          <w:color w:val="212529"/>
          <w:sz w:val="24"/>
          <w:szCs w:val="24"/>
          <w:shd w:val="clear" w:color="auto" w:fill="FFFFFF"/>
          <w:lang w:val="el-GR"/>
        </w:rPr>
        <w:t>Ψυχογιός Γεώργιος</w:t>
      </w:r>
    </w:p>
    <w:p w14:paraId="71009022" w14:textId="77777777" w:rsidR="002808CA" w:rsidRDefault="002808CA" w:rsidP="004773FC">
      <w:pPr>
        <w:spacing w:line="480" w:lineRule="auto"/>
        <w:jc w:val="center"/>
        <w:rPr>
          <w:rFonts w:cstheme="minorHAnsi"/>
          <w:b/>
          <w:color w:val="212529"/>
          <w:sz w:val="24"/>
          <w:szCs w:val="24"/>
          <w:shd w:val="clear" w:color="auto" w:fill="FFFFFF"/>
          <w:lang w:val="el-GR"/>
        </w:rPr>
      </w:pPr>
    </w:p>
    <w:p w14:paraId="3DA654C6" w14:textId="77777777" w:rsidR="002808CA" w:rsidRPr="000E7CAA" w:rsidRDefault="002808CA" w:rsidP="004773FC">
      <w:pPr>
        <w:spacing w:line="480" w:lineRule="auto"/>
        <w:jc w:val="center"/>
        <w:rPr>
          <w:rFonts w:cstheme="minorHAnsi"/>
          <w:b/>
          <w:sz w:val="24"/>
          <w:szCs w:val="24"/>
          <w:lang w:val="el-GR"/>
        </w:rPr>
      </w:pPr>
    </w:p>
    <w:sectPr w:rsidR="002808CA" w:rsidRPr="000E7CAA" w:rsidSect="005B534F">
      <w:footerReference w:type="default" r:id="rId9"/>
      <w:pgSz w:w="12240" w:h="15840"/>
      <w:pgMar w:top="851" w:right="1183"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1DD04" w14:textId="77777777" w:rsidR="004B4FFA" w:rsidRDefault="004B4FFA" w:rsidP="00D02F36">
      <w:pPr>
        <w:spacing w:after="0" w:line="240" w:lineRule="auto"/>
      </w:pPr>
      <w:r>
        <w:separator/>
      </w:r>
    </w:p>
  </w:endnote>
  <w:endnote w:type="continuationSeparator" w:id="0">
    <w:p w14:paraId="0F131DD3" w14:textId="77777777" w:rsidR="004B4FFA" w:rsidRDefault="004B4FFA" w:rsidP="00D0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843032"/>
      <w:docPartObj>
        <w:docPartGallery w:val="Page Numbers (Bottom of Page)"/>
        <w:docPartUnique/>
      </w:docPartObj>
    </w:sdtPr>
    <w:sdtEndPr/>
    <w:sdtContent>
      <w:p w14:paraId="05331720" w14:textId="77777777" w:rsidR="00D02F36" w:rsidRDefault="007608FD">
        <w:pPr>
          <w:pStyle w:val="Footer"/>
          <w:jc w:val="center"/>
        </w:pPr>
        <w:r>
          <w:fldChar w:fldCharType="begin"/>
        </w:r>
        <w:r w:rsidR="001262D4">
          <w:instrText xml:space="preserve"> PAGE   \* MERGEFORMAT </w:instrText>
        </w:r>
        <w:r>
          <w:fldChar w:fldCharType="separate"/>
        </w:r>
        <w:r w:rsidR="004773FC">
          <w:rPr>
            <w:noProof/>
          </w:rPr>
          <w:t>8</w:t>
        </w:r>
        <w:r>
          <w:rPr>
            <w:noProof/>
          </w:rPr>
          <w:fldChar w:fldCharType="end"/>
        </w:r>
      </w:p>
    </w:sdtContent>
  </w:sdt>
  <w:p w14:paraId="140ADD2D" w14:textId="77777777" w:rsidR="00464E99" w:rsidRDefault="004B4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465A2" w14:textId="77777777" w:rsidR="004B4FFA" w:rsidRDefault="004B4FFA" w:rsidP="00D02F36">
      <w:pPr>
        <w:spacing w:after="0" w:line="240" w:lineRule="auto"/>
      </w:pPr>
      <w:r>
        <w:separator/>
      </w:r>
    </w:p>
  </w:footnote>
  <w:footnote w:type="continuationSeparator" w:id="0">
    <w:p w14:paraId="79701B96" w14:textId="77777777" w:rsidR="004B4FFA" w:rsidRDefault="004B4FFA" w:rsidP="00D02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674E6"/>
    <w:multiLevelType w:val="hybridMultilevel"/>
    <w:tmpl w:val="7CA4FB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26C5FC3"/>
    <w:multiLevelType w:val="hybridMultilevel"/>
    <w:tmpl w:val="30F8E0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3530C9A"/>
    <w:multiLevelType w:val="hybridMultilevel"/>
    <w:tmpl w:val="35CE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F9"/>
    <w:rsid w:val="000E7CAA"/>
    <w:rsid w:val="000F28EB"/>
    <w:rsid w:val="001262D4"/>
    <w:rsid w:val="002467B7"/>
    <w:rsid w:val="002808CA"/>
    <w:rsid w:val="00372165"/>
    <w:rsid w:val="00376D52"/>
    <w:rsid w:val="003D166D"/>
    <w:rsid w:val="004773FC"/>
    <w:rsid w:val="004B4FFA"/>
    <w:rsid w:val="005070E1"/>
    <w:rsid w:val="00511C52"/>
    <w:rsid w:val="005170DA"/>
    <w:rsid w:val="005349C2"/>
    <w:rsid w:val="005560C2"/>
    <w:rsid w:val="00580D50"/>
    <w:rsid w:val="006107B6"/>
    <w:rsid w:val="006C3EA2"/>
    <w:rsid w:val="006C52D0"/>
    <w:rsid w:val="006C73D5"/>
    <w:rsid w:val="007608FD"/>
    <w:rsid w:val="007B5DE6"/>
    <w:rsid w:val="00801C73"/>
    <w:rsid w:val="00874EC0"/>
    <w:rsid w:val="00954981"/>
    <w:rsid w:val="00964EC4"/>
    <w:rsid w:val="00986BDC"/>
    <w:rsid w:val="009C16F9"/>
    <w:rsid w:val="009C38E3"/>
    <w:rsid w:val="00A05DA7"/>
    <w:rsid w:val="00A06B6E"/>
    <w:rsid w:val="00A64E75"/>
    <w:rsid w:val="00A71A5F"/>
    <w:rsid w:val="00A73C8C"/>
    <w:rsid w:val="00AD039B"/>
    <w:rsid w:val="00B611B7"/>
    <w:rsid w:val="00BA47EF"/>
    <w:rsid w:val="00BC436C"/>
    <w:rsid w:val="00C5432A"/>
    <w:rsid w:val="00C63A60"/>
    <w:rsid w:val="00C76AEE"/>
    <w:rsid w:val="00CA4D63"/>
    <w:rsid w:val="00D02F36"/>
    <w:rsid w:val="00D03A7E"/>
    <w:rsid w:val="00D33629"/>
    <w:rsid w:val="00D440D5"/>
    <w:rsid w:val="00D51B80"/>
    <w:rsid w:val="00D8560C"/>
    <w:rsid w:val="00E13B28"/>
    <w:rsid w:val="00E413E5"/>
    <w:rsid w:val="00E50BCB"/>
    <w:rsid w:val="00E567E4"/>
    <w:rsid w:val="00EE5809"/>
    <w:rsid w:val="00F6784C"/>
    <w:rsid w:val="00FE24EA"/>
    <w:rsid w:val="00FE38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11DF"/>
  <w15:docId w15:val="{E0CCBD38-6C07-469C-8D2B-1A164775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16F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6F9"/>
    <w:pPr>
      <w:spacing w:after="200" w:line="276" w:lineRule="auto"/>
      <w:ind w:left="720"/>
      <w:contextualSpacing/>
    </w:pPr>
  </w:style>
  <w:style w:type="table" w:styleId="TableGrid">
    <w:name w:val="Table Grid"/>
    <w:basedOn w:val="TableNormal"/>
    <w:uiPriority w:val="59"/>
    <w:rsid w:val="009C16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1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6F9"/>
    <w:rPr>
      <w:lang w:val="en-US"/>
    </w:rPr>
  </w:style>
  <w:style w:type="paragraph" w:customStyle="1" w:styleId="a">
    <w:name w:val="Ασωμακειμενου"/>
    <w:basedOn w:val="Normal"/>
    <w:link w:val="Char"/>
    <w:qFormat/>
    <w:rsid w:val="009C16F9"/>
    <w:pPr>
      <w:spacing w:after="60" w:line="360" w:lineRule="auto"/>
      <w:jc w:val="both"/>
    </w:pPr>
    <w:rPr>
      <w:rFonts w:ascii="Arial" w:eastAsia="Times New Roman" w:hAnsi="Arial" w:cs="Times New Roman"/>
      <w:sz w:val="20"/>
      <w:szCs w:val="20"/>
      <w:lang w:eastAsia="el-GR"/>
    </w:rPr>
  </w:style>
  <w:style w:type="character" w:customStyle="1" w:styleId="Char">
    <w:name w:val="Ασωμακειμενου Char"/>
    <w:basedOn w:val="DefaultParagraphFont"/>
    <w:link w:val="a"/>
    <w:rsid w:val="009C16F9"/>
    <w:rPr>
      <w:rFonts w:ascii="Arial" w:eastAsia="Times New Roman" w:hAnsi="Arial" w:cs="Times New Roman"/>
      <w:sz w:val="20"/>
      <w:szCs w:val="20"/>
      <w:lang w:val="en-US" w:eastAsia="el-GR"/>
    </w:rPr>
  </w:style>
  <w:style w:type="character" w:styleId="Hyperlink">
    <w:name w:val="Hyperlink"/>
    <w:basedOn w:val="DefaultParagraphFont"/>
    <w:uiPriority w:val="99"/>
    <w:semiHidden/>
    <w:unhideWhenUsed/>
    <w:rsid w:val="009C16F9"/>
    <w:rPr>
      <w:color w:val="0000FF"/>
      <w:u w:val="single"/>
    </w:rPr>
  </w:style>
  <w:style w:type="paragraph" w:styleId="NormalWeb">
    <w:name w:val="Normal (Web)"/>
    <w:basedOn w:val="Normal"/>
    <w:uiPriority w:val="99"/>
    <w:semiHidden/>
    <w:unhideWhenUsed/>
    <w:rsid w:val="009C16F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semiHidden/>
    <w:unhideWhenUsed/>
    <w:rsid w:val="00D02F3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02F36"/>
    <w:rPr>
      <w:lang w:val="en-US"/>
    </w:rPr>
  </w:style>
  <w:style w:type="paragraph" w:styleId="NoSpacing">
    <w:name w:val="No Spacing"/>
    <w:uiPriority w:val="1"/>
    <w:qFormat/>
    <w:rsid w:val="00C5432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E2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E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049329">
      <w:bodyDiv w:val="1"/>
      <w:marLeft w:val="0"/>
      <w:marRight w:val="0"/>
      <w:marTop w:val="0"/>
      <w:marBottom w:val="0"/>
      <w:divBdr>
        <w:top w:val="none" w:sz="0" w:space="0" w:color="auto"/>
        <w:left w:val="none" w:sz="0" w:space="0" w:color="auto"/>
        <w:bottom w:val="none" w:sz="0" w:space="0" w:color="auto"/>
        <w:right w:val="none" w:sz="0" w:space="0" w:color="auto"/>
      </w:divBdr>
      <w:divsChild>
        <w:div w:id="1442989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pes.gr/politikes-kai-draseis/programma-filodimos-2/proskliseis-technika-deltia-i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2018</Words>
  <Characters>11505</Characters>
  <Application>Microsoft Office Word</Application>
  <DocSecurity>0</DocSecurity>
  <Lines>95</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user_pc_641</dc:creator>
  <cp:lastModifiedBy>Nelly Kapsi</cp:lastModifiedBy>
  <cp:revision>2</cp:revision>
  <cp:lastPrinted>2019-10-17T10:09:00Z</cp:lastPrinted>
  <dcterms:created xsi:type="dcterms:W3CDTF">2019-10-23T05:40:00Z</dcterms:created>
  <dcterms:modified xsi:type="dcterms:W3CDTF">2019-10-23T05:40:00Z</dcterms:modified>
</cp:coreProperties>
</file>