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9A7" w:rsidRDefault="00010510" w:rsidP="000D49A7">
      <w:pPr>
        <w:widowControl w:val="0"/>
        <w:shd w:val="clear" w:color="auto" w:fill="FEFFFF"/>
        <w:spacing w:before="153" w:after="120" w:line="360" w:lineRule="auto"/>
        <w:ind w:right="34"/>
        <w:jc w:val="center"/>
        <w:rPr>
          <w:rFonts w:ascii="Verdana" w:hAnsi="Verdana"/>
          <w:b/>
          <w:sz w:val="24"/>
          <w:szCs w:val="24"/>
        </w:rPr>
      </w:pPr>
      <w:bookmarkStart w:id="0" w:name="_GoBack"/>
      <w:bookmarkEnd w:id="0"/>
      <w:r>
        <w:rPr>
          <w:rFonts w:ascii="Verdana" w:hAnsi="Verdana"/>
          <w:noProof/>
          <w:sz w:val="20"/>
          <w:szCs w:val="20"/>
          <w:lang w:eastAsia="el-GR"/>
        </w:rPr>
        <w:drawing>
          <wp:inline distT="0" distB="0" distL="0" distR="0" wp14:anchorId="62242532" wp14:editId="1FB3D8AA">
            <wp:extent cx="2182495" cy="1225550"/>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2495" cy="1225550"/>
                    </a:xfrm>
                    <a:prstGeom prst="rect">
                      <a:avLst/>
                    </a:prstGeom>
                    <a:noFill/>
                  </pic:spPr>
                </pic:pic>
              </a:graphicData>
            </a:graphic>
          </wp:inline>
        </w:drawing>
      </w:r>
    </w:p>
    <w:p w:rsidR="000D49A7" w:rsidRPr="000D49A7" w:rsidRDefault="000D49A7" w:rsidP="000D49A7">
      <w:pPr>
        <w:widowControl w:val="0"/>
        <w:shd w:val="clear" w:color="auto" w:fill="FEFFFF"/>
        <w:spacing w:before="153" w:after="120" w:line="360" w:lineRule="auto"/>
        <w:ind w:right="34"/>
        <w:jc w:val="center"/>
        <w:rPr>
          <w:rFonts w:ascii="Verdana" w:hAnsi="Verdana"/>
          <w:b/>
          <w:sz w:val="24"/>
          <w:szCs w:val="24"/>
        </w:rPr>
      </w:pPr>
      <w:r w:rsidRPr="000D49A7">
        <w:rPr>
          <w:rFonts w:ascii="Verdana" w:hAnsi="Verdana"/>
          <w:b/>
          <w:sz w:val="24"/>
          <w:szCs w:val="24"/>
        </w:rPr>
        <w:t>Για τα Δημοτικά Τέλη του 2023 και τη Φορολογική Πολιτική του Δήμου</w:t>
      </w:r>
    </w:p>
    <w:p w:rsidR="00F56C4C" w:rsidRDefault="00F56C4C" w:rsidP="00F56C4C">
      <w:pPr>
        <w:pStyle w:val="a4"/>
        <w:shd w:val="clear" w:color="auto" w:fill="FEFFFF"/>
        <w:spacing w:after="120" w:line="360" w:lineRule="auto"/>
        <w:ind w:right="34"/>
        <w:jc w:val="both"/>
        <w:rPr>
          <w:rFonts w:ascii="Verdana" w:hAnsi="Verdana"/>
          <w:bCs/>
          <w:w w:val="106"/>
          <w:shd w:val="clear" w:color="auto" w:fill="FEFFFF"/>
          <w:lang w:bidi="he-IL"/>
        </w:rPr>
      </w:pPr>
      <w:r w:rsidRPr="00BF1F95">
        <w:rPr>
          <w:rFonts w:ascii="Verdana" w:hAnsi="Verdana"/>
          <w:bCs/>
          <w:w w:val="106"/>
          <w:shd w:val="clear" w:color="auto" w:fill="FEFFFF"/>
          <w:lang w:bidi="he-IL"/>
        </w:rPr>
        <w:t xml:space="preserve">Τη φετινή χρονιά, τα έξοδα </w:t>
      </w:r>
      <w:r>
        <w:rPr>
          <w:rFonts w:ascii="Verdana" w:hAnsi="Verdana"/>
          <w:bCs/>
          <w:w w:val="106"/>
          <w:shd w:val="clear" w:color="auto" w:fill="FEFFFF"/>
          <w:lang w:bidi="he-IL"/>
        </w:rPr>
        <w:t>του Δήμου</w:t>
      </w:r>
      <w:r w:rsidRPr="00BF1F95">
        <w:rPr>
          <w:rFonts w:ascii="Verdana" w:hAnsi="Verdana"/>
          <w:bCs/>
          <w:w w:val="106"/>
          <w:shd w:val="clear" w:color="auto" w:fill="FEFFFF"/>
          <w:lang w:bidi="he-IL"/>
        </w:rPr>
        <w:t xml:space="preserve"> </w:t>
      </w:r>
      <w:r>
        <w:rPr>
          <w:rFonts w:ascii="Verdana" w:hAnsi="Verdana"/>
          <w:bCs/>
          <w:w w:val="106"/>
          <w:shd w:val="clear" w:color="auto" w:fill="FEFFFF"/>
          <w:lang w:bidi="he-IL"/>
        </w:rPr>
        <w:t>«έσπασαν το ταβάνι»</w:t>
      </w:r>
      <w:r w:rsidRPr="00BF1F95">
        <w:rPr>
          <w:rFonts w:ascii="Verdana" w:hAnsi="Verdana"/>
          <w:bCs/>
          <w:w w:val="106"/>
          <w:shd w:val="clear" w:color="auto" w:fill="FEFFFF"/>
          <w:lang w:bidi="he-IL"/>
        </w:rPr>
        <w:t xml:space="preserve">.  </w:t>
      </w:r>
      <w:r w:rsidR="00843BE5">
        <w:rPr>
          <w:rFonts w:ascii="Verdana" w:hAnsi="Verdana"/>
          <w:bCs/>
          <w:w w:val="106"/>
          <w:shd w:val="clear" w:color="auto" w:fill="FEFFFF"/>
          <w:lang w:bidi="he-IL"/>
        </w:rPr>
        <w:t xml:space="preserve">Στην αύξηση των δαπανών που αφορούν </w:t>
      </w:r>
      <w:r w:rsidR="00843BE5" w:rsidRPr="00BF1F95">
        <w:rPr>
          <w:rFonts w:ascii="Verdana" w:hAnsi="Verdana"/>
          <w:bCs/>
          <w:w w:val="106"/>
          <w:shd w:val="clear" w:color="auto" w:fill="FEFFFF"/>
          <w:lang w:bidi="he-IL"/>
        </w:rPr>
        <w:t xml:space="preserve">τις ανάγκες για ρεύμα, αγορά εφοδίων, υλικών για τη λειτουργία </w:t>
      </w:r>
      <w:r w:rsidR="00D00F85">
        <w:rPr>
          <w:rFonts w:ascii="Verdana" w:hAnsi="Verdana"/>
          <w:bCs/>
          <w:w w:val="106"/>
          <w:shd w:val="clear" w:color="auto" w:fill="FEFFFF"/>
          <w:lang w:bidi="he-IL"/>
        </w:rPr>
        <w:t>του Δήμου</w:t>
      </w:r>
      <w:r w:rsidR="00843BE5">
        <w:rPr>
          <w:rFonts w:ascii="Verdana" w:hAnsi="Verdana"/>
          <w:bCs/>
          <w:w w:val="106"/>
          <w:shd w:val="clear" w:color="auto" w:fill="FEFFFF"/>
          <w:lang w:bidi="he-IL"/>
        </w:rPr>
        <w:t xml:space="preserve"> κ</w:t>
      </w:r>
      <w:r w:rsidR="00843BE5" w:rsidRPr="00BF1F95">
        <w:rPr>
          <w:rFonts w:ascii="Verdana" w:hAnsi="Verdana"/>
          <w:bCs/>
          <w:w w:val="106"/>
          <w:shd w:val="clear" w:color="auto" w:fill="FEFFFF"/>
          <w:lang w:bidi="he-IL"/>
        </w:rPr>
        <w:t>.</w:t>
      </w:r>
      <w:r w:rsidR="00843BE5">
        <w:rPr>
          <w:rFonts w:ascii="Verdana" w:hAnsi="Verdana"/>
          <w:bCs/>
          <w:w w:val="106"/>
          <w:shd w:val="clear" w:color="auto" w:fill="FEFFFF"/>
          <w:lang w:bidi="he-IL"/>
        </w:rPr>
        <w:t>α.</w:t>
      </w:r>
      <w:r w:rsidR="00D00F85">
        <w:rPr>
          <w:rFonts w:ascii="Verdana" w:hAnsi="Verdana"/>
          <w:bCs/>
          <w:w w:val="106"/>
          <w:shd w:val="clear" w:color="auto" w:fill="FEFFFF"/>
          <w:lang w:bidi="he-IL"/>
        </w:rPr>
        <w:t xml:space="preserve">, </w:t>
      </w:r>
      <w:r w:rsidR="00843BE5">
        <w:rPr>
          <w:rFonts w:ascii="Verdana" w:hAnsi="Verdana"/>
          <w:bCs/>
          <w:w w:val="106"/>
          <w:shd w:val="clear" w:color="auto" w:fill="FEFFFF"/>
          <w:lang w:bidi="he-IL"/>
        </w:rPr>
        <w:t>προστέθηκε η</w:t>
      </w:r>
      <w:r>
        <w:rPr>
          <w:rFonts w:ascii="Verdana" w:hAnsi="Verdana"/>
          <w:bCs/>
          <w:w w:val="106"/>
          <w:shd w:val="clear" w:color="auto" w:fill="FEFFFF"/>
          <w:lang w:bidi="he-IL"/>
        </w:rPr>
        <w:t xml:space="preserve"> </w:t>
      </w:r>
      <w:r w:rsidR="006E3E87">
        <w:rPr>
          <w:rFonts w:ascii="Verdana" w:hAnsi="Verdana"/>
          <w:bCs/>
          <w:w w:val="106"/>
          <w:shd w:val="clear" w:color="auto" w:fill="FEFFFF"/>
          <w:lang w:bidi="he-IL"/>
        </w:rPr>
        <w:t>υπέρογκη</w:t>
      </w:r>
      <w:r>
        <w:rPr>
          <w:rFonts w:ascii="Verdana" w:hAnsi="Verdana"/>
          <w:bCs/>
          <w:w w:val="106"/>
          <w:shd w:val="clear" w:color="auto" w:fill="FEFFFF"/>
          <w:lang w:bidi="he-IL"/>
        </w:rPr>
        <w:t xml:space="preserve"> </w:t>
      </w:r>
      <w:r w:rsidR="006E3E87">
        <w:rPr>
          <w:rFonts w:ascii="Verdana" w:hAnsi="Verdana"/>
          <w:bCs/>
          <w:w w:val="106"/>
          <w:shd w:val="clear" w:color="auto" w:fill="FEFFFF"/>
          <w:lang w:bidi="he-IL"/>
        </w:rPr>
        <w:t>ετήσια εισφορά στον ΦΟΔΣΑ Ν. Αιγαίου Α.Ε</w:t>
      </w:r>
      <w:r w:rsidR="00843BE5">
        <w:rPr>
          <w:rFonts w:ascii="Verdana" w:hAnsi="Verdana"/>
          <w:bCs/>
          <w:w w:val="106"/>
          <w:shd w:val="clear" w:color="auto" w:fill="FEFFFF"/>
          <w:lang w:bidi="he-IL"/>
        </w:rPr>
        <w:t xml:space="preserve">. και το οικονομικό «γονάτισμα» της ΔΕΥΑ από την αύξηση των τιμολογίων του ρεύματος. </w:t>
      </w:r>
    </w:p>
    <w:p w:rsidR="00F35334" w:rsidRPr="00060837" w:rsidRDefault="00843BE5" w:rsidP="00F35334">
      <w:pPr>
        <w:widowControl w:val="0"/>
        <w:shd w:val="clear" w:color="auto" w:fill="FEFFFF"/>
        <w:spacing w:after="120" w:line="360" w:lineRule="auto"/>
        <w:ind w:right="34"/>
        <w:jc w:val="both"/>
        <w:rPr>
          <w:rFonts w:ascii="Verdana" w:eastAsia="Times New Roman" w:hAnsi="Verdana" w:cs="Times New Roman"/>
          <w:color w:val="00000A"/>
          <w:sz w:val="24"/>
          <w:szCs w:val="24"/>
          <w:shd w:val="clear" w:color="auto" w:fill="FEFFFF"/>
          <w:lang w:eastAsia="el-GR" w:bidi="he-IL"/>
        </w:rPr>
      </w:pPr>
      <w:r>
        <w:rPr>
          <w:rFonts w:ascii="Verdana" w:eastAsia="Times New Roman" w:hAnsi="Verdana" w:cs="Times New Roman"/>
          <w:color w:val="00000A"/>
          <w:sz w:val="24"/>
          <w:szCs w:val="24"/>
          <w:shd w:val="clear" w:color="auto" w:fill="FEFFFF"/>
          <w:lang w:eastAsia="el-GR" w:bidi="he-IL"/>
        </w:rPr>
        <w:t xml:space="preserve">Η κυβέρνηση επιμένει στην καταβολή </w:t>
      </w:r>
      <w:r w:rsidR="00F35334" w:rsidRPr="00060837">
        <w:rPr>
          <w:rFonts w:ascii="Verdana" w:eastAsia="Times New Roman" w:hAnsi="Verdana" w:cs="Times New Roman"/>
          <w:color w:val="00000A"/>
          <w:sz w:val="24"/>
          <w:szCs w:val="24"/>
          <w:shd w:val="clear" w:color="auto" w:fill="FEFFFF"/>
          <w:lang w:eastAsia="el-GR" w:bidi="he-IL"/>
        </w:rPr>
        <w:t xml:space="preserve">του </w:t>
      </w:r>
      <w:r w:rsidR="00F35334" w:rsidRPr="00060837">
        <w:rPr>
          <w:rFonts w:ascii="Verdana" w:eastAsia="Times New Roman" w:hAnsi="Verdana" w:cs="Times New Roman"/>
          <w:bCs/>
          <w:color w:val="00000A"/>
          <w:sz w:val="24"/>
          <w:szCs w:val="24"/>
          <w:shd w:val="clear" w:color="auto" w:fill="FEFFFF"/>
          <w:lang w:eastAsia="el-GR" w:bidi="he-IL"/>
        </w:rPr>
        <w:t>τέλους ταφής</w:t>
      </w:r>
      <w:r>
        <w:rPr>
          <w:rFonts w:ascii="Verdana" w:eastAsia="Times New Roman" w:hAnsi="Verdana" w:cs="Times New Roman"/>
          <w:bCs/>
          <w:color w:val="00000A"/>
          <w:sz w:val="24"/>
          <w:szCs w:val="24"/>
          <w:shd w:val="clear" w:color="auto" w:fill="FEFFFF"/>
          <w:lang w:eastAsia="el-GR" w:bidi="he-IL"/>
        </w:rPr>
        <w:t>,</w:t>
      </w:r>
      <w:r w:rsidR="00F35334" w:rsidRPr="00060837">
        <w:rPr>
          <w:rFonts w:ascii="Verdana" w:eastAsia="Times New Roman" w:hAnsi="Verdana" w:cs="Times New Roman"/>
          <w:b/>
          <w:bCs/>
          <w:color w:val="00000A"/>
          <w:sz w:val="24"/>
          <w:szCs w:val="24"/>
          <w:shd w:val="clear" w:color="auto" w:fill="FEFFFF"/>
          <w:lang w:eastAsia="el-GR" w:bidi="he-IL"/>
        </w:rPr>
        <w:t xml:space="preserve"> </w:t>
      </w:r>
      <w:r w:rsidR="00F35334" w:rsidRPr="00060837">
        <w:rPr>
          <w:rFonts w:ascii="Verdana" w:eastAsia="Times New Roman" w:hAnsi="Verdana" w:cs="Times New Roman"/>
          <w:color w:val="00000A"/>
          <w:sz w:val="24"/>
          <w:szCs w:val="24"/>
          <w:shd w:val="clear" w:color="auto" w:fill="FEFFFF"/>
          <w:lang w:eastAsia="el-GR" w:bidi="he-IL"/>
        </w:rPr>
        <w:t>που</w:t>
      </w:r>
      <w:r>
        <w:rPr>
          <w:rFonts w:ascii="Verdana" w:eastAsia="Times New Roman" w:hAnsi="Verdana" w:cs="Times New Roman"/>
          <w:color w:val="00000A"/>
          <w:sz w:val="24"/>
          <w:szCs w:val="24"/>
          <w:shd w:val="clear" w:color="auto" w:fill="FEFFFF"/>
          <w:lang w:eastAsia="el-GR" w:bidi="he-IL"/>
        </w:rPr>
        <w:t xml:space="preserve"> από τα 20</w:t>
      </w:r>
      <w:r w:rsidRPr="00843BE5">
        <w:rPr>
          <w:rFonts w:ascii="Verdana" w:eastAsia="Times New Roman" w:hAnsi="Verdana" w:cs="Times New Roman"/>
          <w:color w:val="00000A"/>
          <w:sz w:val="24"/>
          <w:szCs w:val="24"/>
          <w:shd w:val="clear" w:color="auto" w:fill="FEFFFF"/>
          <w:lang w:eastAsia="el-GR" w:bidi="he-IL"/>
        </w:rPr>
        <w:t>€/τόν</w:t>
      </w:r>
      <w:r>
        <w:rPr>
          <w:rFonts w:ascii="Verdana" w:eastAsia="Times New Roman" w:hAnsi="Verdana" w:cs="Times New Roman"/>
          <w:color w:val="00000A"/>
          <w:sz w:val="24"/>
          <w:szCs w:val="24"/>
          <w:shd w:val="clear" w:color="auto" w:fill="FEFFFF"/>
          <w:lang w:eastAsia="el-GR" w:bidi="he-IL"/>
        </w:rPr>
        <w:t>ο</w:t>
      </w:r>
      <w:r w:rsidRPr="00843BE5">
        <w:rPr>
          <w:rFonts w:ascii="Verdana" w:eastAsia="Times New Roman" w:hAnsi="Verdana" w:cs="Times New Roman"/>
          <w:color w:val="00000A"/>
          <w:sz w:val="24"/>
          <w:szCs w:val="24"/>
          <w:shd w:val="clear" w:color="auto" w:fill="FEFFFF"/>
          <w:lang w:eastAsia="el-GR" w:bidi="he-IL"/>
        </w:rPr>
        <w:t xml:space="preserve"> για το 2022 </w:t>
      </w:r>
      <w:r>
        <w:rPr>
          <w:rFonts w:ascii="Verdana" w:eastAsia="Times New Roman" w:hAnsi="Verdana" w:cs="Times New Roman"/>
          <w:color w:val="00000A"/>
          <w:sz w:val="24"/>
          <w:szCs w:val="24"/>
          <w:shd w:val="clear" w:color="auto" w:fill="FEFFFF"/>
          <w:lang w:eastAsia="el-GR" w:bidi="he-IL"/>
        </w:rPr>
        <w:t xml:space="preserve">θα φτάσει </w:t>
      </w:r>
      <w:r w:rsidRPr="00843BE5">
        <w:rPr>
          <w:rFonts w:ascii="Verdana" w:eastAsia="Times New Roman" w:hAnsi="Verdana" w:cs="Times New Roman"/>
          <w:color w:val="00000A"/>
          <w:sz w:val="24"/>
          <w:szCs w:val="24"/>
          <w:shd w:val="clear" w:color="auto" w:fill="FEFFFF"/>
          <w:lang w:eastAsia="el-GR" w:bidi="he-IL"/>
        </w:rPr>
        <w:t xml:space="preserve">κλιμακούμενο </w:t>
      </w:r>
      <w:r>
        <w:rPr>
          <w:rFonts w:ascii="Verdana" w:eastAsia="Times New Roman" w:hAnsi="Verdana" w:cs="Times New Roman"/>
          <w:color w:val="00000A"/>
          <w:sz w:val="24"/>
          <w:szCs w:val="24"/>
          <w:shd w:val="clear" w:color="auto" w:fill="FEFFFF"/>
          <w:lang w:eastAsia="el-GR" w:bidi="he-IL"/>
        </w:rPr>
        <w:t>στα 55€/τό</w:t>
      </w:r>
      <w:r w:rsidRPr="00843BE5">
        <w:rPr>
          <w:rFonts w:ascii="Verdana" w:eastAsia="Times New Roman" w:hAnsi="Verdana" w:cs="Times New Roman"/>
          <w:color w:val="00000A"/>
          <w:sz w:val="24"/>
          <w:szCs w:val="24"/>
          <w:shd w:val="clear" w:color="auto" w:fill="FEFFFF"/>
          <w:lang w:eastAsia="el-GR" w:bidi="he-IL"/>
        </w:rPr>
        <w:t>ν</w:t>
      </w:r>
      <w:r>
        <w:rPr>
          <w:rFonts w:ascii="Verdana" w:eastAsia="Times New Roman" w:hAnsi="Verdana" w:cs="Times New Roman"/>
          <w:color w:val="00000A"/>
          <w:sz w:val="24"/>
          <w:szCs w:val="24"/>
          <w:shd w:val="clear" w:color="auto" w:fill="FEFFFF"/>
          <w:lang w:eastAsia="el-GR" w:bidi="he-IL"/>
        </w:rPr>
        <w:t>ο το 2027</w:t>
      </w:r>
      <w:r w:rsidR="00F35334" w:rsidRPr="00060837">
        <w:rPr>
          <w:rFonts w:ascii="Verdana" w:eastAsia="Times New Roman" w:hAnsi="Verdana" w:cs="Times New Roman"/>
          <w:color w:val="00000A"/>
          <w:sz w:val="24"/>
          <w:szCs w:val="24"/>
          <w:shd w:val="clear" w:color="auto" w:fill="FEFFFF"/>
          <w:lang w:eastAsia="el-GR" w:bidi="he-IL"/>
        </w:rPr>
        <w:t xml:space="preserve"> </w:t>
      </w:r>
      <w:r>
        <w:rPr>
          <w:rFonts w:ascii="Verdana" w:eastAsia="Times New Roman" w:hAnsi="Verdana" w:cs="Times New Roman"/>
          <w:color w:val="00000A"/>
          <w:sz w:val="24"/>
          <w:szCs w:val="24"/>
          <w:shd w:val="clear" w:color="auto" w:fill="FEFFFF"/>
          <w:lang w:eastAsia="el-GR" w:bidi="he-IL"/>
        </w:rPr>
        <w:t xml:space="preserve">αυξάνοντας ακόμα περισσότερο την επιβάρυνση στη διαχείριση των απορριμμάτων. </w:t>
      </w:r>
    </w:p>
    <w:p w:rsidR="00C75C2C" w:rsidRDefault="00F35334" w:rsidP="00C75C2C">
      <w:pPr>
        <w:widowControl w:val="0"/>
        <w:shd w:val="clear" w:color="auto" w:fill="FEFFFF"/>
        <w:spacing w:before="153" w:after="120" w:line="360" w:lineRule="auto"/>
        <w:ind w:right="34"/>
        <w:jc w:val="both"/>
        <w:rPr>
          <w:rFonts w:ascii="Verdana" w:hAnsi="Verdana"/>
          <w:sz w:val="24"/>
          <w:szCs w:val="24"/>
        </w:rPr>
      </w:pPr>
      <w:r>
        <w:rPr>
          <w:rFonts w:ascii="Verdana" w:eastAsia="Times New Roman" w:hAnsi="Verdana" w:cs="Times New Roman"/>
          <w:color w:val="00000A"/>
          <w:sz w:val="24"/>
          <w:szCs w:val="24"/>
          <w:shd w:val="clear" w:color="auto" w:fill="FEFFFF"/>
          <w:lang w:eastAsia="el-GR" w:bidi="he-IL"/>
        </w:rPr>
        <w:t>Μέσα σε αυτό το πλαίσιο, υ</w:t>
      </w:r>
      <w:r w:rsidR="008F76FA" w:rsidRPr="00BF1F95">
        <w:rPr>
          <w:rFonts w:ascii="Verdana" w:eastAsia="Times New Roman" w:hAnsi="Verdana" w:cs="Times New Roman"/>
          <w:color w:val="00000A"/>
          <w:sz w:val="24"/>
          <w:szCs w:val="24"/>
          <w:shd w:val="clear" w:color="auto" w:fill="FEFFFF"/>
          <w:lang w:eastAsia="el-GR" w:bidi="he-IL"/>
        </w:rPr>
        <w:t>πήρξε επιπλέον υποβάθμιση κρίσιμων δομών και υπηρεσιών των δήμων με ταυτόχρονη ανατροπή εργασιακών σχέσεων.</w:t>
      </w:r>
      <w:r w:rsidR="00C75C2C" w:rsidRPr="00C75C2C">
        <w:rPr>
          <w:rFonts w:ascii="Verdana" w:hAnsi="Verdana"/>
          <w:sz w:val="24"/>
          <w:szCs w:val="24"/>
        </w:rPr>
        <w:t xml:space="preserve"> </w:t>
      </w:r>
    </w:p>
    <w:p w:rsidR="00C75C2C" w:rsidRDefault="00D00F85" w:rsidP="00C75C2C">
      <w:pPr>
        <w:widowControl w:val="0"/>
        <w:shd w:val="clear" w:color="auto" w:fill="FEFFFF"/>
        <w:spacing w:before="153" w:after="120" w:line="360" w:lineRule="auto"/>
        <w:ind w:right="34"/>
        <w:jc w:val="both"/>
        <w:rPr>
          <w:rFonts w:ascii="Verdana" w:eastAsia="Times New Roman" w:hAnsi="Verdana" w:cs="Times New Roman"/>
          <w:color w:val="00000A"/>
          <w:sz w:val="24"/>
          <w:szCs w:val="24"/>
          <w:shd w:val="clear" w:color="auto" w:fill="FEFFFF"/>
          <w:lang w:eastAsia="el-GR" w:bidi="he-IL"/>
        </w:rPr>
      </w:pPr>
      <w:r>
        <w:rPr>
          <w:rFonts w:ascii="Verdana" w:eastAsia="Times New Roman" w:hAnsi="Verdana" w:cs="Times New Roman"/>
          <w:color w:val="00000A"/>
          <w:sz w:val="24"/>
          <w:szCs w:val="24"/>
          <w:shd w:val="clear" w:color="auto" w:fill="FEFFFF"/>
          <w:lang w:eastAsia="el-GR" w:bidi="he-IL"/>
        </w:rPr>
        <w:t xml:space="preserve">Μέσα σε αυτές τις συνθήκες γίνονται εμφανή τα όρια και </w:t>
      </w:r>
      <w:r w:rsidRPr="008F76FA">
        <w:rPr>
          <w:rFonts w:ascii="Verdana" w:eastAsia="Times New Roman" w:hAnsi="Verdana" w:cs="Times New Roman"/>
          <w:color w:val="00000A"/>
          <w:sz w:val="24"/>
          <w:szCs w:val="24"/>
          <w:shd w:val="clear" w:color="auto" w:fill="FEFFFF"/>
          <w:lang w:eastAsia="el-GR" w:bidi="he-IL"/>
        </w:rPr>
        <w:t xml:space="preserve">τα μεγάλα αδιέξοδα που δημιουργεί, </w:t>
      </w:r>
      <w:r>
        <w:rPr>
          <w:rFonts w:ascii="Verdana" w:eastAsia="Times New Roman" w:hAnsi="Verdana" w:cs="Times New Roman"/>
          <w:color w:val="00000A"/>
          <w:sz w:val="24"/>
          <w:szCs w:val="24"/>
          <w:shd w:val="clear" w:color="auto" w:fill="FEFFFF"/>
          <w:lang w:eastAsia="el-GR" w:bidi="he-IL"/>
        </w:rPr>
        <w:t xml:space="preserve">η λογική της κυριαρχίας των ίδιων εσόδων στους δήμους και η ταυτόχρονη μείωση της κεντρικής χρηματοδότησης. </w:t>
      </w:r>
      <w:r w:rsidR="00C75C2C">
        <w:rPr>
          <w:rFonts w:ascii="Verdana" w:hAnsi="Verdana"/>
          <w:sz w:val="24"/>
          <w:szCs w:val="24"/>
        </w:rPr>
        <w:t>Βλέπουμε πως έκτακτα έξοδα μπορούν, να εκτροχιάσουν τα οικονομικά του δήμου, να υποβαθμίσουν τις παρεχόμενες υπηρεσίες προς τους δημότες ή ακόμη και να δημιουργήσουν σοβαρά προβλήματα στην λειτουργία του.</w:t>
      </w:r>
      <w:r w:rsidR="00C75C2C" w:rsidRPr="006E3E87">
        <w:rPr>
          <w:rFonts w:ascii="Verdana" w:eastAsia="Times New Roman" w:hAnsi="Verdana" w:cs="Times New Roman"/>
          <w:color w:val="00000A"/>
          <w:sz w:val="24"/>
          <w:szCs w:val="24"/>
          <w:shd w:val="clear" w:color="auto" w:fill="FEFFFF"/>
          <w:lang w:eastAsia="el-GR" w:bidi="he-IL"/>
        </w:rPr>
        <w:t xml:space="preserve"> </w:t>
      </w:r>
    </w:p>
    <w:p w:rsidR="002D7D65" w:rsidRDefault="008F76FA" w:rsidP="00BF1F95">
      <w:pPr>
        <w:widowControl w:val="0"/>
        <w:shd w:val="clear" w:color="auto" w:fill="FEFFFF"/>
        <w:spacing w:after="120" w:line="360" w:lineRule="auto"/>
        <w:ind w:right="34"/>
        <w:jc w:val="both"/>
        <w:rPr>
          <w:rFonts w:ascii="Verdana" w:eastAsia="Times New Roman" w:hAnsi="Verdana" w:cs="Times New Roman"/>
          <w:color w:val="00000A"/>
          <w:sz w:val="24"/>
          <w:szCs w:val="24"/>
          <w:shd w:val="clear" w:color="auto" w:fill="FEFFFF"/>
          <w:lang w:eastAsia="el-GR" w:bidi="he-IL"/>
        </w:rPr>
      </w:pPr>
      <w:r w:rsidRPr="008F76FA">
        <w:rPr>
          <w:rFonts w:ascii="Verdana" w:eastAsia="Times New Roman" w:hAnsi="Verdana" w:cs="Times New Roman"/>
          <w:color w:val="00000A"/>
          <w:sz w:val="24"/>
          <w:szCs w:val="24"/>
          <w:shd w:val="clear" w:color="auto" w:fill="FEFFFF"/>
          <w:lang w:eastAsia="el-GR" w:bidi="he-IL"/>
        </w:rPr>
        <w:t xml:space="preserve">Στον αντίποδα όλων αυτών των σχεδιασμών </w:t>
      </w:r>
      <w:r w:rsidR="002D7D65">
        <w:rPr>
          <w:rFonts w:ascii="Verdana" w:eastAsia="Times New Roman" w:hAnsi="Verdana" w:cs="Times New Roman"/>
          <w:color w:val="00000A"/>
          <w:sz w:val="24"/>
          <w:szCs w:val="24"/>
          <w:shd w:val="clear" w:color="auto" w:fill="FEFFFF"/>
          <w:lang w:eastAsia="el-GR" w:bidi="he-IL"/>
        </w:rPr>
        <w:t>βρέθηκε η Λαϊκή</w:t>
      </w:r>
      <w:r w:rsidR="006210D5">
        <w:rPr>
          <w:rFonts w:ascii="Verdana" w:eastAsia="Times New Roman" w:hAnsi="Verdana" w:cs="Times New Roman"/>
          <w:color w:val="00000A"/>
          <w:sz w:val="24"/>
          <w:szCs w:val="24"/>
          <w:shd w:val="clear" w:color="auto" w:fill="FEFFFF"/>
          <w:lang w:eastAsia="el-GR" w:bidi="he-IL"/>
        </w:rPr>
        <w:t xml:space="preserve"> Συσπείρωση</w:t>
      </w:r>
      <w:r w:rsidRPr="008F76FA">
        <w:rPr>
          <w:rFonts w:ascii="Verdana" w:eastAsia="Times New Roman" w:hAnsi="Verdana" w:cs="Times New Roman"/>
          <w:color w:val="00000A"/>
          <w:sz w:val="24"/>
          <w:szCs w:val="24"/>
          <w:shd w:val="clear" w:color="auto" w:fill="FEFFFF"/>
          <w:lang w:eastAsia="el-GR" w:bidi="he-IL"/>
        </w:rPr>
        <w:t xml:space="preserve"> που κατήγγειλ</w:t>
      </w:r>
      <w:r w:rsidR="006210D5">
        <w:rPr>
          <w:rFonts w:ascii="Verdana" w:eastAsia="Times New Roman" w:hAnsi="Verdana" w:cs="Times New Roman"/>
          <w:color w:val="00000A"/>
          <w:sz w:val="24"/>
          <w:szCs w:val="24"/>
          <w:shd w:val="clear" w:color="auto" w:fill="FEFFFF"/>
          <w:lang w:eastAsia="el-GR" w:bidi="he-IL"/>
        </w:rPr>
        <w:t>ε</w:t>
      </w:r>
      <w:r w:rsidRPr="008F76FA">
        <w:rPr>
          <w:rFonts w:ascii="Verdana" w:eastAsia="Times New Roman" w:hAnsi="Verdana" w:cs="Times New Roman"/>
          <w:color w:val="00000A"/>
          <w:sz w:val="24"/>
          <w:szCs w:val="24"/>
          <w:shd w:val="clear" w:color="auto" w:fill="FEFFFF"/>
          <w:lang w:eastAsia="el-GR" w:bidi="he-IL"/>
        </w:rPr>
        <w:t xml:space="preserve"> όλους αυτούς τους αντιδραστικούς νόμους και το αντιλαϊκό πλαίσιο που στήριξαν διαχρονικά όλες οι κυβερνήσεις</w:t>
      </w:r>
      <w:r w:rsidR="002D7D65">
        <w:rPr>
          <w:rFonts w:ascii="Verdana" w:eastAsia="Times New Roman" w:hAnsi="Verdana" w:cs="Times New Roman"/>
          <w:color w:val="00000A"/>
          <w:sz w:val="24"/>
          <w:szCs w:val="24"/>
          <w:shd w:val="clear" w:color="auto" w:fill="FEFFFF"/>
          <w:lang w:eastAsia="el-GR" w:bidi="he-IL"/>
        </w:rPr>
        <w:t>.</w:t>
      </w:r>
      <w:r w:rsidRPr="008F76FA">
        <w:rPr>
          <w:rFonts w:ascii="Verdana" w:eastAsia="Times New Roman" w:hAnsi="Verdana" w:cs="Times New Roman"/>
          <w:color w:val="00000A"/>
          <w:sz w:val="24"/>
          <w:szCs w:val="24"/>
          <w:shd w:val="clear" w:color="auto" w:fill="FEFFFF"/>
          <w:lang w:eastAsia="el-GR" w:bidi="he-IL"/>
        </w:rPr>
        <w:t xml:space="preserve"> </w:t>
      </w:r>
    </w:p>
    <w:p w:rsidR="002475DD" w:rsidRDefault="002D7D65" w:rsidP="00BF1F95">
      <w:pPr>
        <w:widowControl w:val="0"/>
        <w:shd w:val="clear" w:color="auto" w:fill="FEFFFF"/>
        <w:spacing w:after="120" w:line="360" w:lineRule="auto"/>
        <w:ind w:right="34"/>
        <w:jc w:val="both"/>
        <w:rPr>
          <w:rFonts w:ascii="Verdana" w:eastAsia="Times New Roman" w:hAnsi="Verdana" w:cs="Times New Roman"/>
          <w:color w:val="00000A"/>
          <w:sz w:val="24"/>
          <w:szCs w:val="24"/>
          <w:shd w:val="clear" w:color="auto" w:fill="FEFFFF"/>
          <w:lang w:eastAsia="el-GR" w:bidi="he-IL"/>
        </w:rPr>
      </w:pPr>
      <w:r>
        <w:rPr>
          <w:rFonts w:ascii="Verdana" w:eastAsia="Times New Roman" w:hAnsi="Verdana" w:cs="Times New Roman"/>
          <w:color w:val="00000A"/>
          <w:sz w:val="24"/>
          <w:szCs w:val="24"/>
          <w:shd w:val="clear" w:color="auto" w:fill="FEFFFF"/>
          <w:lang w:eastAsia="el-GR" w:bidi="he-IL"/>
        </w:rPr>
        <w:lastRenderedPageBreak/>
        <w:t xml:space="preserve">Το «φάρμακο» της οικονομικής αυτοτέλειας των δήμων μέσω της ανταποδοτικότητας, αποδείχτηκε «φαρμάκι». </w:t>
      </w:r>
      <w:r w:rsidR="002475DD" w:rsidRPr="002475DD">
        <w:rPr>
          <w:rFonts w:ascii="Verdana" w:eastAsia="Times New Roman" w:hAnsi="Verdana" w:cs="Times New Roman"/>
          <w:color w:val="00000A"/>
          <w:sz w:val="24"/>
          <w:szCs w:val="24"/>
          <w:shd w:val="clear" w:color="auto" w:fill="FEFFFF"/>
          <w:lang w:eastAsia="el-GR" w:bidi="he-IL"/>
        </w:rPr>
        <w:t xml:space="preserve">Τα ανταποδοτικά τέλη που πληρώνουν οι δημότες τα έχουν ήδη προπληρώσει πολλαπλάσια μέσω της ληστρικής  άμεσης και έμμεσης φορολόγησης. </w:t>
      </w:r>
    </w:p>
    <w:p w:rsidR="00EB54A8" w:rsidRDefault="002D7D65" w:rsidP="00BF1F95">
      <w:pPr>
        <w:widowControl w:val="0"/>
        <w:shd w:val="clear" w:color="auto" w:fill="FEFFFF"/>
        <w:spacing w:after="120" w:line="360" w:lineRule="auto"/>
        <w:ind w:right="34"/>
        <w:jc w:val="both"/>
        <w:rPr>
          <w:rFonts w:ascii="Verdana" w:eastAsia="Times New Roman" w:hAnsi="Verdana" w:cs="Times New Roman"/>
          <w:color w:val="00000A"/>
          <w:sz w:val="24"/>
          <w:szCs w:val="24"/>
          <w:shd w:val="clear" w:color="auto" w:fill="FEFFFF"/>
          <w:lang w:eastAsia="el-GR" w:bidi="he-IL"/>
        </w:rPr>
      </w:pPr>
      <w:r>
        <w:rPr>
          <w:rFonts w:ascii="Verdana" w:eastAsia="Times New Roman" w:hAnsi="Verdana" w:cs="Times New Roman"/>
          <w:color w:val="00000A"/>
          <w:sz w:val="24"/>
          <w:szCs w:val="24"/>
          <w:shd w:val="clear" w:color="auto" w:fill="FEFFFF"/>
          <w:lang w:eastAsia="el-GR" w:bidi="he-IL"/>
        </w:rPr>
        <w:t xml:space="preserve">Οι Δήμοι </w:t>
      </w:r>
      <w:r>
        <w:rPr>
          <w:rFonts w:ascii="Verdana" w:hAnsi="Verdana"/>
          <w:color w:val="000000"/>
          <w:sz w:val="24"/>
        </w:rPr>
        <w:t>έχουν προ πολλού μετατραπεί σε τμήμα του κρατικού μηχανισμού</w:t>
      </w:r>
      <w:r w:rsidRPr="002D7D65">
        <w:rPr>
          <w:rFonts w:ascii="Verdana" w:hAnsi="Verdana"/>
          <w:color w:val="000000"/>
          <w:sz w:val="24"/>
        </w:rPr>
        <w:t xml:space="preserve"> </w:t>
      </w:r>
      <w:r w:rsidRPr="002D7D65">
        <w:rPr>
          <w:rFonts w:ascii="Verdana" w:hAnsi="Verdana"/>
          <w:color w:val="000000"/>
          <w:sz w:val="24"/>
          <w:szCs w:val="24"/>
        </w:rPr>
        <w:t xml:space="preserve">Κρατικοί </w:t>
      </w:r>
      <w:r>
        <w:rPr>
          <w:rFonts w:ascii="Verdana" w:hAnsi="Verdana"/>
          <w:color w:val="000000"/>
          <w:sz w:val="24"/>
          <w:szCs w:val="24"/>
        </w:rPr>
        <w:t xml:space="preserve">με βασικές αρμοδιότητες την εφαρμογή τοπικής φορολογίας και της </w:t>
      </w:r>
      <w:r w:rsidRPr="002D7D65">
        <w:rPr>
          <w:rFonts w:ascii="Verdana" w:hAnsi="Verdana"/>
          <w:color w:val="000000"/>
          <w:sz w:val="24"/>
          <w:szCs w:val="24"/>
        </w:rPr>
        <w:t xml:space="preserve"> </w:t>
      </w:r>
      <w:r w:rsidR="00EB54A8">
        <w:rPr>
          <w:rFonts w:ascii="Verdana" w:hAnsi="Verdana"/>
          <w:color w:val="000000"/>
          <w:sz w:val="24"/>
          <w:szCs w:val="24"/>
        </w:rPr>
        <w:t>επιστασίας των ιδιωτών</w:t>
      </w:r>
      <w:r w:rsidRPr="002D7D65">
        <w:rPr>
          <w:rFonts w:ascii="Verdana" w:hAnsi="Verdana"/>
          <w:color w:val="000000"/>
          <w:sz w:val="24"/>
          <w:szCs w:val="24"/>
        </w:rPr>
        <w:t xml:space="preserve">, στους οποίους σκοπεύουν να εκχωρήσουν </w:t>
      </w:r>
      <w:r w:rsidR="00EB54A8">
        <w:rPr>
          <w:rFonts w:ascii="Verdana" w:hAnsi="Verdana"/>
          <w:color w:val="000000"/>
          <w:sz w:val="24"/>
          <w:szCs w:val="24"/>
        </w:rPr>
        <w:t xml:space="preserve">σιγά – σιγά </w:t>
      </w:r>
      <w:r w:rsidRPr="002D7D65">
        <w:rPr>
          <w:rFonts w:ascii="Verdana" w:hAnsi="Verdana"/>
          <w:color w:val="000000"/>
          <w:sz w:val="24"/>
          <w:szCs w:val="24"/>
        </w:rPr>
        <w:t>όλο το δημοτικό έργο.</w:t>
      </w:r>
      <w:r>
        <w:rPr>
          <w:rFonts w:ascii="Verdana" w:eastAsia="Times New Roman" w:hAnsi="Verdana" w:cs="Times New Roman"/>
          <w:color w:val="00000A"/>
          <w:sz w:val="24"/>
          <w:szCs w:val="24"/>
          <w:shd w:val="clear" w:color="auto" w:fill="FEFFFF"/>
          <w:lang w:eastAsia="el-GR" w:bidi="he-IL"/>
        </w:rPr>
        <w:t xml:space="preserve"> </w:t>
      </w:r>
    </w:p>
    <w:p w:rsidR="00302E6C" w:rsidRPr="00BF1F95" w:rsidRDefault="00EB54A8" w:rsidP="00302E6C">
      <w:pPr>
        <w:widowControl w:val="0"/>
        <w:shd w:val="clear" w:color="auto" w:fill="FEFFFF"/>
        <w:spacing w:after="120" w:line="360" w:lineRule="auto"/>
        <w:ind w:right="34"/>
        <w:jc w:val="both"/>
        <w:rPr>
          <w:rFonts w:ascii="Verdana" w:eastAsia="Times New Roman" w:hAnsi="Verdana" w:cs="Times New Roman"/>
          <w:color w:val="00000A"/>
          <w:sz w:val="24"/>
          <w:szCs w:val="24"/>
          <w:shd w:val="clear" w:color="auto" w:fill="FEFFFF"/>
          <w:lang w:eastAsia="el-GR" w:bidi="he-IL"/>
        </w:rPr>
      </w:pPr>
      <w:r>
        <w:rPr>
          <w:rFonts w:ascii="Verdana" w:eastAsia="Times New Roman" w:hAnsi="Verdana" w:cs="Times New Roman"/>
          <w:color w:val="00000A"/>
          <w:sz w:val="24"/>
          <w:szCs w:val="24"/>
          <w:shd w:val="clear" w:color="auto" w:fill="FEFFFF"/>
          <w:lang w:eastAsia="el-GR" w:bidi="he-IL"/>
        </w:rPr>
        <w:t>Στον αντίποδα της λογικής αυτής</w:t>
      </w:r>
      <w:r w:rsidR="00302E6C">
        <w:rPr>
          <w:rFonts w:ascii="Verdana" w:eastAsia="Times New Roman" w:hAnsi="Verdana" w:cs="Times New Roman"/>
          <w:color w:val="00000A"/>
          <w:sz w:val="24"/>
          <w:szCs w:val="24"/>
          <w:shd w:val="clear" w:color="auto" w:fill="FEFFFF"/>
          <w:lang w:eastAsia="el-GR" w:bidi="he-IL"/>
        </w:rPr>
        <w:t xml:space="preserve">, η Λαϊκή Συσπείρωση παλεύει για </w:t>
      </w:r>
      <w:r w:rsidR="00302E6C" w:rsidRPr="00302E6C">
        <w:rPr>
          <w:rFonts w:ascii="Verdana" w:eastAsia="Times New Roman" w:hAnsi="Verdana" w:cs="Times New Roman"/>
          <w:color w:val="00000A"/>
          <w:sz w:val="24"/>
          <w:szCs w:val="24"/>
          <w:shd w:val="clear" w:color="auto" w:fill="FEFFFF"/>
          <w:lang w:eastAsia="el-GR" w:bidi="he-IL"/>
        </w:rPr>
        <w:t>τη συνολική κατάργηση των ανταποδοτικών τελών και την  χρηματοδότηση των Υπηρεσιών από τον κρατικό προϋπολογισμό</w:t>
      </w:r>
      <w:r w:rsidR="00302E6C">
        <w:rPr>
          <w:rFonts w:ascii="Verdana" w:eastAsia="Times New Roman" w:hAnsi="Verdana" w:cs="Times New Roman"/>
          <w:color w:val="00000A"/>
          <w:sz w:val="24"/>
          <w:szCs w:val="24"/>
          <w:shd w:val="clear" w:color="auto" w:fill="FEFFFF"/>
          <w:lang w:eastAsia="el-GR" w:bidi="he-IL"/>
        </w:rPr>
        <w:t>, τ</w:t>
      </w:r>
      <w:r>
        <w:rPr>
          <w:rFonts w:ascii="Verdana" w:eastAsia="Times New Roman" w:hAnsi="Verdana" w:cs="Times New Roman"/>
          <w:color w:val="00000A"/>
          <w:sz w:val="24"/>
          <w:szCs w:val="24"/>
          <w:shd w:val="clear" w:color="auto" w:fill="FEFFFF"/>
          <w:lang w:eastAsia="el-GR" w:bidi="he-IL"/>
        </w:rPr>
        <w:t>η</w:t>
      </w:r>
      <w:r w:rsidR="00302E6C">
        <w:rPr>
          <w:rFonts w:ascii="Verdana" w:eastAsia="Times New Roman" w:hAnsi="Verdana" w:cs="Times New Roman"/>
          <w:color w:val="00000A"/>
          <w:sz w:val="24"/>
          <w:szCs w:val="24"/>
          <w:shd w:val="clear" w:color="auto" w:fill="FEFFFF"/>
          <w:lang w:eastAsia="el-GR" w:bidi="he-IL"/>
        </w:rPr>
        <w:t>ν</w:t>
      </w:r>
      <w:r>
        <w:rPr>
          <w:rFonts w:ascii="Verdana" w:eastAsia="Times New Roman" w:hAnsi="Verdana" w:cs="Times New Roman"/>
          <w:color w:val="00000A"/>
          <w:sz w:val="24"/>
          <w:szCs w:val="24"/>
          <w:shd w:val="clear" w:color="auto" w:fill="FEFFFF"/>
          <w:lang w:eastAsia="el-GR" w:bidi="he-IL"/>
        </w:rPr>
        <w:t xml:space="preserve"> απόδοση στους δήμους των χρημάτων που παράνομα παρακρατούνται κάθε χρόνο από το κεντρικό κράτος</w:t>
      </w:r>
      <w:r w:rsidR="008F76FA" w:rsidRPr="008F76FA">
        <w:rPr>
          <w:rFonts w:ascii="Verdana" w:eastAsia="Times New Roman" w:hAnsi="Verdana" w:cs="Times New Roman"/>
          <w:color w:val="00000A"/>
          <w:sz w:val="24"/>
          <w:szCs w:val="24"/>
          <w:shd w:val="clear" w:color="auto" w:fill="FEFFFF"/>
          <w:lang w:eastAsia="el-GR" w:bidi="he-IL"/>
        </w:rPr>
        <w:t xml:space="preserve">, </w:t>
      </w:r>
      <w:r>
        <w:rPr>
          <w:rFonts w:ascii="Verdana" w:eastAsia="Times New Roman" w:hAnsi="Verdana" w:cs="Times New Roman"/>
          <w:color w:val="00000A"/>
          <w:sz w:val="24"/>
          <w:szCs w:val="24"/>
          <w:shd w:val="clear" w:color="auto" w:fill="FEFFFF"/>
          <w:lang w:eastAsia="el-GR" w:bidi="he-IL"/>
        </w:rPr>
        <w:t xml:space="preserve"> </w:t>
      </w:r>
      <w:r w:rsidR="00302E6C">
        <w:rPr>
          <w:rFonts w:ascii="Verdana" w:eastAsia="Times New Roman" w:hAnsi="Verdana" w:cs="Times New Roman"/>
          <w:color w:val="00000A"/>
          <w:sz w:val="24"/>
          <w:szCs w:val="24"/>
          <w:shd w:val="clear" w:color="auto" w:fill="FEFFFF"/>
          <w:lang w:eastAsia="el-GR" w:bidi="he-IL"/>
        </w:rPr>
        <w:t>για</w:t>
      </w:r>
      <w:r>
        <w:rPr>
          <w:rFonts w:ascii="Verdana" w:eastAsia="Times New Roman" w:hAnsi="Verdana" w:cs="Times New Roman"/>
          <w:color w:val="00000A"/>
          <w:sz w:val="24"/>
          <w:szCs w:val="24"/>
          <w:shd w:val="clear" w:color="auto" w:fill="FEFFFF"/>
          <w:lang w:eastAsia="el-GR" w:bidi="he-IL"/>
        </w:rPr>
        <w:t xml:space="preserve"> </w:t>
      </w:r>
      <w:r w:rsidR="008F76FA" w:rsidRPr="008F76FA">
        <w:rPr>
          <w:rFonts w:ascii="Verdana" w:eastAsia="Times New Roman" w:hAnsi="Verdana" w:cs="Times New Roman"/>
          <w:color w:val="00000A"/>
          <w:sz w:val="24"/>
          <w:szCs w:val="24"/>
          <w:shd w:val="clear" w:color="auto" w:fill="FEFFFF"/>
          <w:lang w:eastAsia="el-GR" w:bidi="he-IL"/>
        </w:rPr>
        <w:t xml:space="preserve">προσλήψεις μόνιμου προσωπικού με πλήρη εργασιακά και ασφαλιστικά δικαιώματα, ώστε να καλυφθούν τα  </w:t>
      </w:r>
      <w:r w:rsidR="006210D5">
        <w:rPr>
          <w:rFonts w:ascii="Verdana" w:eastAsia="Times New Roman" w:hAnsi="Verdana" w:cs="Times New Roman"/>
          <w:color w:val="00000A"/>
          <w:sz w:val="24"/>
          <w:szCs w:val="24"/>
          <w:shd w:val="clear" w:color="auto" w:fill="FEFFFF"/>
          <w:lang w:eastAsia="el-GR" w:bidi="he-IL"/>
        </w:rPr>
        <w:t>δεκάδες</w:t>
      </w:r>
      <w:r w:rsidR="008F76FA" w:rsidRPr="008F76FA">
        <w:rPr>
          <w:rFonts w:ascii="Verdana" w:eastAsia="Times New Roman" w:hAnsi="Verdana" w:cs="Times New Roman"/>
          <w:color w:val="00000A"/>
          <w:sz w:val="24"/>
          <w:szCs w:val="24"/>
          <w:shd w:val="clear" w:color="auto" w:fill="FEFFFF"/>
          <w:lang w:eastAsia="el-GR" w:bidi="he-IL"/>
        </w:rPr>
        <w:t xml:space="preserve"> κενά. </w:t>
      </w:r>
    </w:p>
    <w:p w:rsidR="00EB54A8" w:rsidRDefault="00EB54A8" w:rsidP="00EB54A8">
      <w:pPr>
        <w:widowControl w:val="0"/>
        <w:shd w:val="clear" w:color="auto" w:fill="FEFFFF"/>
        <w:spacing w:after="120" w:line="360" w:lineRule="auto"/>
        <w:ind w:right="34"/>
        <w:jc w:val="both"/>
        <w:rPr>
          <w:rFonts w:ascii="Verdana" w:eastAsia="Times New Roman" w:hAnsi="Verdana" w:cs="Times New Roman"/>
          <w:color w:val="00000A"/>
          <w:sz w:val="24"/>
          <w:szCs w:val="24"/>
          <w:shd w:val="clear" w:color="auto" w:fill="FEFFFF"/>
          <w:lang w:eastAsia="el-GR" w:bidi="he-IL"/>
        </w:rPr>
      </w:pPr>
      <w:r>
        <w:rPr>
          <w:rFonts w:ascii="Verdana" w:eastAsia="Times New Roman" w:hAnsi="Verdana" w:cs="Times New Roman"/>
          <w:color w:val="00000A"/>
          <w:sz w:val="24"/>
          <w:szCs w:val="24"/>
          <w:shd w:val="clear" w:color="auto" w:fill="FEFFFF"/>
          <w:lang w:eastAsia="el-GR" w:bidi="he-IL"/>
        </w:rPr>
        <w:t>Μπροστά στις πολύ δύσκολες καταστάσεις που βιώνουμε και που θα βιώσουμε με την ακρίβεια, την ενεργειακή φτώχεια και τις συνέπειες του πολέμου στην Ουκρανία, με τον πληθωρισμό να κατατρώει το εισόδημα των λαϊκών στρωμάτων, απαιτείται</w:t>
      </w:r>
      <w:r w:rsidR="00302E6C">
        <w:rPr>
          <w:rFonts w:ascii="Verdana" w:eastAsia="Times New Roman" w:hAnsi="Verdana" w:cs="Times New Roman"/>
          <w:color w:val="00000A"/>
          <w:sz w:val="24"/>
          <w:szCs w:val="24"/>
          <w:shd w:val="clear" w:color="auto" w:fill="FEFFFF"/>
          <w:lang w:eastAsia="el-GR" w:bidi="he-IL"/>
        </w:rPr>
        <w:t xml:space="preserve"> άμεσα</w:t>
      </w:r>
      <w:r>
        <w:rPr>
          <w:rFonts w:ascii="Verdana" w:eastAsia="Times New Roman" w:hAnsi="Verdana" w:cs="Times New Roman"/>
          <w:color w:val="00000A"/>
          <w:sz w:val="24"/>
          <w:szCs w:val="24"/>
          <w:shd w:val="clear" w:color="auto" w:fill="FEFFFF"/>
          <w:lang w:eastAsia="el-GR" w:bidi="he-IL"/>
        </w:rPr>
        <w:t xml:space="preserve"> μείωση των </w:t>
      </w:r>
      <w:r w:rsidR="002475DD">
        <w:rPr>
          <w:rFonts w:ascii="Verdana" w:eastAsia="Times New Roman" w:hAnsi="Verdana" w:cs="Times New Roman"/>
          <w:color w:val="00000A"/>
          <w:sz w:val="24"/>
          <w:szCs w:val="24"/>
          <w:shd w:val="clear" w:color="auto" w:fill="FEFFFF"/>
          <w:lang w:eastAsia="el-GR" w:bidi="he-IL"/>
        </w:rPr>
        <w:t xml:space="preserve">δημοτικών τελών τουλάχιστον για τις ευπαθείς ομάδες. </w:t>
      </w:r>
    </w:p>
    <w:p w:rsidR="0087344B" w:rsidRDefault="00302E6C" w:rsidP="0087344B">
      <w:pPr>
        <w:spacing w:after="120" w:line="360" w:lineRule="auto"/>
        <w:ind w:right="34"/>
        <w:jc w:val="both"/>
        <w:rPr>
          <w:rFonts w:ascii="Verdana" w:hAnsi="Verdana"/>
          <w:sz w:val="24"/>
          <w:szCs w:val="24"/>
        </w:rPr>
      </w:pPr>
      <w:r>
        <w:rPr>
          <w:rFonts w:ascii="Verdana" w:hAnsi="Verdana"/>
          <w:sz w:val="24"/>
          <w:szCs w:val="24"/>
        </w:rPr>
        <w:t xml:space="preserve">Στην βάση αυτή προτείνουμε να διεύρυνση των κατηγοριών που είτε απαλλάσσονται από τα δημοτικά τέλη είτε δικαιούνται μειώσεις, ως εξής: </w:t>
      </w:r>
    </w:p>
    <w:tbl>
      <w:tblPr>
        <w:tblStyle w:val="a3"/>
        <w:tblW w:w="7196" w:type="dxa"/>
        <w:jc w:val="center"/>
        <w:tblCellMar>
          <w:left w:w="103" w:type="dxa"/>
        </w:tblCellMar>
        <w:tblLook w:val="04A0" w:firstRow="1" w:lastRow="0" w:firstColumn="1" w:lastColumn="0" w:noHBand="0" w:noVBand="1"/>
      </w:tblPr>
      <w:tblGrid>
        <w:gridCol w:w="4787"/>
        <w:gridCol w:w="2409"/>
      </w:tblGrid>
      <w:tr w:rsidR="008F76FA" w:rsidRPr="008F76FA" w:rsidTr="00D06F91">
        <w:trPr>
          <w:jc w:val="center"/>
        </w:trPr>
        <w:tc>
          <w:tcPr>
            <w:tcW w:w="4787" w:type="dxa"/>
            <w:shd w:val="clear" w:color="auto" w:fill="auto"/>
            <w:tcMar>
              <w:left w:w="103" w:type="dxa"/>
            </w:tcMar>
          </w:tcPr>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Πολύτεκνοι με τέσσερα προστατευόμενα τέκνα και άνω με ετήσιο εισόδημα έως 30.000€.</w:t>
            </w: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Πλήρης απαλλαγή</w:t>
            </w:r>
          </w:p>
        </w:tc>
      </w:tr>
      <w:tr w:rsidR="008F76FA" w:rsidRPr="008F76FA" w:rsidTr="00D06F91">
        <w:trPr>
          <w:jc w:val="center"/>
        </w:trPr>
        <w:tc>
          <w:tcPr>
            <w:tcW w:w="4787" w:type="dxa"/>
            <w:shd w:val="clear" w:color="auto" w:fill="auto"/>
            <w:tcMar>
              <w:left w:w="103" w:type="dxa"/>
            </w:tcMar>
          </w:tcPr>
          <w:p w:rsidR="008F76FA" w:rsidRPr="008F76FA" w:rsidRDefault="008F76FA" w:rsidP="006210D5">
            <w:pPr>
              <w:widowControl w:val="0"/>
              <w:spacing w:after="120" w:line="360" w:lineRule="auto"/>
              <w:ind w:right="34"/>
              <w:jc w:val="both"/>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Πολύτεκνοι με τέσσερα προστατευόμενα τέκνα και άνω με ετήσιο εισόδημα από  30.001 έως 40.000 €</w:t>
            </w:r>
            <w:r w:rsidR="006210D5">
              <w:rPr>
                <w:rFonts w:ascii="Verdana" w:eastAsia="Times New Roman" w:hAnsi="Verdana" w:cs="Times New Roman"/>
                <w:color w:val="00000A"/>
                <w:sz w:val="18"/>
                <w:szCs w:val="24"/>
                <w:shd w:val="clear" w:color="auto" w:fill="FEFFFF"/>
                <w:lang w:bidi="he-IL"/>
              </w:rPr>
              <w:t>.</w:t>
            </w: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Απαλλαγή κατά 50%</w:t>
            </w:r>
          </w:p>
        </w:tc>
      </w:tr>
      <w:tr w:rsidR="008F76FA" w:rsidRPr="008F76FA" w:rsidTr="00D06F91">
        <w:trPr>
          <w:jc w:val="center"/>
        </w:trPr>
        <w:tc>
          <w:tcPr>
            <w:tcW w:w="4787" w:type="dxa"/>
            <w:shd w:val="clear" w:color="auto" w:fill="auto"/>
            <w:tcMar>
              <w:left w:w="103" w:type="dxa"/>
            </w:tcMar>
          </w:tcPr>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highlight w:val="cyan"/>
                <w:lang w:bidi="he-IL"/>
              </w:rPr>
            </w:pPr>
            <w:proofErr w:type="spellStart"/>
            <w:r w:rsidRPr="008F76FA">
              <w:rPr>
                <w:rFonts w:ascii="Verdana" w:eastAsia="Times New Roman" w:hAnsi="Verdana" w:cs="Times New Roman"/>
                <w:color w:val="00000A"/>
                <w:sz w:val="18"/>
                <w:szCs w:val="24"/>
                <w:shd w:val="clear" w:color="auto" w:fill="FEFFFF"/>
                <w:lang w:bidi="he-IL"/>
              </w:rPr>
              <w:t>Τρίτεκνοι</w:t>
            </w:r>
            <w:proofErr w:type="spellEnd"/>
            <w:r w:rsidRPr="008F76FA">
              <w:rPr>
                <w:rFonts w:ascii="Verdana" w:eastAsia="Times New Roman" w:hAnsi="Verdana" w:cs="Times New Roman"/>
                <w:color w:val="00000A"/>
                <w:sz w:val="18"/>
                <w:szCs w:val="24"/>
                <w:shd w:val="clear" w:color="auto" w:fill="FEFFFF"/>
                <w:lang w:bidi="he-IL"/>
              </w:rPr>
              <w:t xml:space="preserve"> με τρία προστατευόμενα τέκνα με ετήσιο οικογενειακό</w:t>
            </w:r>
            <w:r w:rsidRPr="008F76FA">
              <w:rPr>
                <w:rFonts w:ascii="Verdana" w:eastAsia="Times New Roman" w:hAnsi="Verdana" w:cs="Times New Roman"/>
                <w:b/>
                <w:color w:val="00000A"/>
                <w:sz w:val="18"/>
                <w:szCs w:val="24"/>
                <w:shd w:val="clear" w:color="auto" w:fill="FEFFFF"/>
                <w:lang w:bidi="he-IL"/>
              </w:rPr>
              <w:t xml:space="preserve">  </w:t>
            </w:r>
            <w:r w:rsidRPr="008F76FA">
              <w:rPr>
                <w:rFonts w:ascii="Verdana" w:eastAsia="Times New Roman" w:hAnsi="Verdana" w:cs="Times New Roman"/>
                <w:color w:val="00000A"/>
                <w:sz w:val="18"/>
                <w:szCs w:val="24"/>
                <w:shd w:val="clear" w:color="auto" w:fill="FEFFFF"/>
                <w:lang w:bidi="he-IL"/>
              </w:rPr>
              <w:t>εισόδημα έως 25.000€</w:t>
            </w: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Πλήρης απαλλαγή</w:t>
            </w:r>
          </w:p>
        </w:tc>
      </w:tr>
      <w:tr w:rsidR="008F76FA" w:rsidRPr="008F76FA" w:rsidTr="00D06F91">
        <w:trPr>
          <w:jc w:val="center"/>
        </w:trPr>
        <w:tc>
          <w:tcPr>
            <w:tcW w:w="4787" w:type="dxa"/>
            <w:shd w:val="clear" w:color="auto" w:fill="auto"/>
            <w:tcMar>
              <w:left w:w="103" w:type="dxa"/>
            </w:tcMar>
          </w:tcPr>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highlight w:val="cyan"/>
                <w:lang w:bidi="he-IL"/>
              </w:rPr>
            </w:pPr>
            <w:proofErr w:type="spellStart"/>
            <w:r w:rsidRPr="008F76FA">
              <w:rPr>
                <w:rFonts w:ascii="Verdana" w:eastAsia="Times New Roman" w:hAnsi="Verdana" w:cs="Times New Roman"/>
                <w:color w:val="00000A"/>
                <w:sz w:val="18"/>
                <w:szCs w:val="24"/>
                <w:shd w:val="clear" w:color="auto" w:fill="FEFFFF"/>
                <w:lang w:bidi="he-IL"/>
              </w:rPr>
              <w:t>Τρίτεκνοι</w:t>
            </w:r>
            <w:proofErr w:type="spellEnd"/>
            <w:r w:rsidRPr="008F76FA">
              <w:rPr>
                <w:rFonts w:ascii="Verdana" w:eastAsia="Times New Roman" w:hAnsi="Verdana" w:cs="Times New Roman"/>
                <w:color w:val="00000A"/>
                <w:sz w:val="18"/>
                <w:szCs w:val="24"/>
                <w:shd w:val="clear" w:color="auto" w:fill="FEFFFF"/>
                <w:lang w:bidi="he-IL"/>
              </w:rPr>
              <w:t xml:space="preserve"> με τρία προστατευόμενα τέκνα με ετήσιο οικογενειακό  εισόδημα από  25.001 έως 30.000 €</w:t>
            </w: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Απαλλαγή κατά 50%</w:t>
            </w:r>
          </w:p>
        </w:tc>
      </w:tr>
      <w:tr w:rsidR="008F76FA" w:rsidRPr="008F76FA" w:rsidTr="00D06F91">
        <w:trPr>
          <w:jc w:val="center"/>
        </w:trPr>
        <w:tc>
          <w:tcPr>
            <w:tcW w:w="4787" w:type="dxa"/>
            <w:shd w:val="clear" w:color="auto" w:fill="auto"/>
            <w:tcMar>
              <w:left w:w="103" w:type="dxa"/>
            </w:tcMar>
          </w:tcPr>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lastRenderedPageBreak/>
              <w:t>Άτομα με αναπηρία με ποσοστό αναπηρίας μεγαλύτερο ή ίσο του 67% και ετήσιο εισόδημα έως 30.000€</w:t>
            </w: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Πλήρης απαλλαγή</w:t>
            </w:r>
          </w:p>
        </w:tc>
      </w:tr>
      <w:tr w:rsidR="008F76FA" w:rsidRPr="008F76FA" w:rsidTr="00D06F91">
        <w:trPr>
          <w:jc w:val="center"/>
        </w:trPr>
        <w:tc>
          <w:tcPr>
            <w:tcW w:w="4787" w:type="dxa"/>
            <w:shd w:val="clear" w:color="auto" w:fill="auto"/>
            <w:tcMar>
              <w:left w:w="103" w:type="dxa"/>
            </w:tcMar>
          </w:tcPr>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Άτομα με αναπηρία με ποσοστό αναπηρίας μεγαλύτερο ή ίσο του 67% και ετήσιο εισόδημα από  30.001 έως 40.000 €</w:t>
            </w: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Απαλλαγή κατά 50%</w:t>
            </w:r>
          </w:p>
        </w:tc>
      </w:tr>
      <w:tr w:rsidR="008F76FA" w:rsidRPr="008F76FA" w:rsidTr="00D06F91">
        <w:trPr>
          <w:jc w:val="center"/>
        </w:trPr>
        <w:tc>
          <w:tcPr>
            <w:tcW w:w="4787" w:type="dxa"/>
            <w:shd w:val="clear" w:color="auto" w:fill="auto"/>
            <w:tcMar>
              <w:left w:w="103" w:type="dxa"/>
            </w:tcMar>
          </w:tcPr>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Χήρος –Χήρα που δεν έχει τελέσει άλλο γάμο με 1 ή 2 προστατευόμενα τέκνα και ετήσιο οικογενειακό εισόδημα έως 20.000€</w:t>
            </w: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Πλήρης απαλλαγή</w:t>
            </w:r>
          </w:p>
        </w:tc>
      </w:tr>
      <w:tr w:rsidR="008F76FA" w:rsidRPr="008F76FA" w:rsidTr="00D06F91">
        <w:trPr>
          <w:jc w:val="center"/>
        </w:trPr>
        <w:tc>
          <w:tcPr>
            <w:tcW w:w="4787" w:type="dxa"/>
            <w:shd w:val="clear" w:color="auto" w:fill="auto"/>
            <w:tcMar>
              <w:left w:w="103" w:type="dxa"/>
            </w:tcMar>
          </w:tcPr>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rPr>
            </w:pPr>
            <w:r w:rsidRPr="008F76FA">
              <w:rPr>
                <w:rFonts w:ascii="Verdana" w:eastAsia="Times New Roman" w:hAnsi="Verdana" w:cs="Times New Roman"/>
                <w:color w:val="00000A"/>
                <w:sz w:val="18"/>
                <w:szCs w:val="24"/>
                <w:shd w:val="clear" w:color="auto" w:fill="FEFFFF"/>
                <w:lang w:bidi="he-IL"/>
              </w:rPr>
              <w:t>Μονογονεϊκές οικογένειες των περιπτώσεων απόκτησης τέκνου-ων χωρίς γάμο ή χωρίς σύμφωνο συμβίωσης των γονέων, με προστατευόμενα τέκνα και ετήσιο οικογενειακό εισόδημα έως 20.000€</w:t>
            </w:r>
          </w:p>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highlight w:val="cyan"/>
                <w:lang w:bidi="he-IL"/>
              </w:rPr>
            </w:pP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rPr>
            </w:pPr>
            <w:r w:rsidRPr="008F76FA">
              <w:rPr>
                <w:rFonts w:ascii="Verdana" w:eastAsia="Times New Roman" w:hAnsi="Verdana" w:cs="Times New Roman"/>
                <w:color w:val="00000A"/>
                <w:sz w:val="18"/>
                <w:szCs w:val="24"/>
                <w:shd w:val="clear" w:color="auto" w:fill="FEFFFF"/>
                <w:lang w:bidi="he-IL"/>
              </w:rPr>
              <w:t>Πλήρης απαλλαγή</w:t>
            </w:r>
          </w:p>
        </w:tc>
      </w:tr>
      <w:tr w:rsidR="008F76FA" w:rsidRPr="008F76FA" w:rsidTr="00D06F91">
        <w:trPr>
          <w:jc w:val="center"/>
        </w:trPr>
        <w:tc>
          <w:tcPr>
            <w:tcW w:w="4787" w:type="dxa"/>
            <w:shd w:val="clear" w:color="auto" w:fill="auto"/>
            <w:tcMar>
              <w:left w:w="103" w:type="dxa"/>
            </w:tcMar>
          </w:tcPr>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Μακροχρόνια άνεργοι (πάνω από ένα έτος) οι οποίοι θα είναι εγγεγραμμένοι στα μητρώα του ΟΑΕΔ δηλώνουν στη φορολογική δήλωση μόνο μια κατοικία έως 120 τ.μ. για τον χώρο κύριας χρήσης και έχουν οικογενειακό εισόδημα έως 7.000€</w:t>
            </w: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Απαλλαγή κατά 50%</w:t>
            </w:r>
          </w:p>
        </w:tc>
      </w:tr>
      <w:tr w:rsidR="008F76FA" w:rsidRPr="008F76FA" w:rsidTr="00D06F91">
        <w:trPr>
          <w:jc w:val="center"/>
        </w:trPr>
        <w:tc>
          <w:tcPr>
            <w:tcW w:w="4787" w:type="dxa"/>
            <w:shd w:val="clear" w:color="auto" w:fill="auto"/>
            <w:tcMar>
              <w:left w:w="103" w:type="dxa"/>
            </w:tcMar>
          </w:tcPr>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Μακροχρόνια άνεργα ζευγάρια ( πάνω από 1 έτος) οι  οποίοι θα είναι εγγεγραμμένοι στα μητρώα του ΟΑΕΔ δηλώνουν στη φορολογική δήλωση μόνο μια κατοικία έως 120 τ.μ. για τον χώρο κύριας χρήσης και έχουν οικογενειακό εισόδημα έως 10.000€</w:t>
            </w: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Πλήρης απαλλαγή</w:t>
            </w:r>
          </w:p>
        </w:tc>
      </w:tr>
      <w:tr w:rsidR="008F76FA" w:rsidRPr="008F76FA" w:rsidTr="00D06F91">
        <w:trPr>
          <w:jc w:val="center"/>
        </w:trPr>
        <w:tc>
          <w:tcPr>
            <w:tcW w:w="4787" w:type="dxa"/>
            <w:shd w:val="clear" w:color="auto" w:fill="auto"/>
            <w:tcMar>
              <w:left w:w="103" w:type="dxa"/>
            </w:tcMar>
          </w:tcPr>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rPr>
            </w:pPr>
            <w:r w:rsidRPr="008F76FA">
              <w:rPr>
                <w:rFonts w:ascii="Verdana" w:eastAsia="Times New Roman" w:hAnsi="Verdana" w:cs="Times New Roman"/>
                <w:color w:val="00000A"/>
                <w:sz w:val="18"/>
                <w:szCs w:val="24"/>
                <w:shd w:val="clear" w:color="auto" w:fill="FEFFFF"/>
                <w:lang w:bidi="he-IL"/>
              </w:rPr>
              <w:t>Δικαιούχοι ΚΕΑ που δηλώνουν στη φορολογική δήλωση μόνο μια κατοικία έως 120 τ.μ. για τον χώρο κύριας χρήσης</w:t>
            </w:r>
          </w:p>
          <w:p w:rsidR="008F76FA" w:rsidRPr="008F76FA" w:rsidRDefault="008F76FA" w:rsidP="00BF1F95">
            <w:pPr>
              <w:widowControl w:val="0"/>
              <w:spacing w:after="120" w:line="360" w:lineRule="auto"/>
              <w:ind w:right="34"/>
              <w:jc w:val="both"/>
              <w:rPr>
                <w:rFonts w:ascii="Verdana" w:eastAsia="Times New Roman" w:hAnsi="Verdana" w:cs="Times New Roman"/>
                <w:color w:val="00000A"/>
                <w:sz w:val="18"/>
                <w:szCs w:val="24"/>
                <w:highlight w:val="cyan"/>
                <w:lang w:bidi="he-IL"/>
              </w:rPr>
            </w:pPr>
          </w:p>
        </w:tc>
        <w:tc>
          <w:tcPr>
            <w:tcW w:w="2409" w:type="dxa"/>
            <w:shd w:val="clear" w:color="auto" w:fill="auto"/>
            <w:tcMar>
              <w:left w:w="103" w:type="dxa"/>
            </w:tcMar>
            <w:vAlign w:val="center"/>
          </w:tcPr>
          <w:p w:rsidR="008F76FA" w:rsidRPr="008F76FA" w:rsidRDefault="008F76FA" w:rsidP="00BF1F95">
            <w:pPr>
              <w:widowControl w:val="0"/>
              <w:spacing w:after="120" w:line="360" w:lineRule="auto"/>
              <w:ind w:right="34"/>
              <w:jc w:val="center"/>
              <w:rPr>
                <w:rFonts w:ascii="Verdana" w:eastAsia="Times New Roman" w:hAnsi="Verdana" w:cs="Times New Roman"/>
                <w:color w:val="00000A"/>
                <w:sz w:val="18"/>
                <w:szCs w:val="24"/>
                <w:highlight w:val="cyan"/>
                <w:lang w:bidi="he-IL"/>
              </w:rPr>
            </w:pPr>
            <w:r w:rsidRPr="008F76FA">
              <w:rPr>
                <w:rFonts w:ascii="Verdana" w:eastAsia="Times New Roman" w:hAnsi="Verdana" w:cs="Times New Roman"/>
                <w:color w:val="00000A"/>
                <w:sz w:val="18"/>
                <w:szCs w:val="24"/>
                <w:shd w:val="clear" w:color="auto" w:fill="FEFFFF"/>
                <w:lang w:bidi="he-IL"/>
              </w:rPr>
              <w:t>Πλήρης απαλλαγή</w:t>
            </w:r>
          </w:p>
        </w:tc>
      </w:tr>
    </w:tbl>
    <w:p w:rsidR="008F76FA" w:rsidRDefault="008F76FA" w:rsidP="00BF1F95">
      <w:pPr>
        <w:spacing w:after="120" w:line="360" w:lineRule="auto"/>
        <w:ind w:right="34"/>
        <w:rPr>
          <w:rFonts w:ascii="Verdana" w:hAnsi="Verdana"/>
          <w:sz w:val="24"/>
          <w:szCs w:val="24"/>
        </w:rPr>
      </w:pPr>
    </w:p>
    <w:p w:rsidR="00302E6C" w:rsidRPr="00BF1F95" w:rsidRDefault="00302E6C" w:rsidP="005A7121">
      <w:pPr>
        <w:spacing w:after="120" w:line="360" w:lineRule="auto"/>
        <w:ind w:right="34"/>
        <w:jc w:val="both"/>
        <w:rPr>
          <w:rFonts w:ascii="Verdana" w:hAnsi="Verdana"/>
          <w:sz w:val="24"/>
          <w:szCs w:val="24"/>
        </w:rPr>
      </w:pPr>
      <w:r>
        <w:rPr>
          <w:rFonts w:ascii="Verdana" w:hAnsi="Verdana"/>
          <w:sz w:val="24"/>
          <w:szCs w:val="24"/>
        </w:rPr>
        <w:t xml:space="preserve">Επιπλέον, προτείνουμε την θεσμοθέτηση </w:t>
      </w:r>
      <w:r w:rsidR="005A7121">
        <w:rPr>
          <w:rFonts w:ascii="Verdana" w:hAnsi="Verdana"/>
          <w:sz w:val="24"/>
          <w:szCs w:val="24"/>
        </w:rPr>
        <w:t xml:space="preserve">των εξής </w:t>
      </w:r>
      <w:r>
        <w:rPr>
          <w:rFonts w:ascii="Verdana" w:hAnsi="Verdana"/>
          <w:sz w:val="24"/>
          <w:szCs w:val="24"/>
        </w:rPr>
        <w:t>επιπρόσθετων συντελεστών</w:t>
      </w:r>
      <w:r w:rsidR="005A7121">
        <w:rPr>
          <w:rFonts w:ascii="Verdana" w:hAnsi="Verdana"/>
          <w:sz w:val="24"/>
          <w:szCs w:val="24"/>
        </w:rPr>
        <w:t>:</w:t>
      </w:r>
    </w:p>
    <w:p w:rsidR="008F76FA" w:rsidRPr="00BF1F95" w:rsidRDefault="005A7121" w:rsidP="00BF1F95">
      <w:pPr>
        <w:spacing w:after="120" w:line="360" w:lineRule="auto"/>
        <w:ind w:right="34"/>
        <w:rPr>
          <w:rFonts w:ascii="Verdana" w:eastAsia="Times New Roman" w:hAnsi="Verdana" w:cs="Times New Roman"/>
          <w:b/>
          <w:color w:val="00000A"/>
          <w:sz w:val="24"/>
          <w:szCs w:val="24"/>
          <w:u w:val="single"/>
          <w:shd w:val="clear" w:color="auto" w:fill="FEFFFF"/>
          <w:lang w:eastAsia="el-GR" w:bidi="he-IL"/>
        </w:rPr>
      </w:pPr>
      <w:r>
        <w:rPr>
          <w:rFonts w:ascii="Verdana" w:eastAsia="Times New Roman" w:hAnsi="Verdana" w:cs="Times New Roman"/>
          <w:b/>
          <w:color w:val="00000A"/>
          <w:sz w:val="24"/>
          <w:szCs w:val="24"/>
          <w:u w:val="single"/>
          <w:shd w:val="clear" w:color="auto" w:fill="FEFFFF"/>
          <w:lang w:eastAsia="el-GR" w:bidi="he-IL"/>
        </w:rPr>
        <w:t>Για τον οικιακό συντελεστή</w:t>
      </w:r>
    </w:p>
    <w:p w:rsidR="008F76FA" w:rsidRPr="00BF1F95" w:rsidRDefault="006D76D2" w:rsidP="00D6374D">
      <w:pPr>
        <w:spacing w:after="120" w:line="360" w:lineRule="auto"/>
        <w:ind w:right="34"/>
        <w:jc w:val="both"/>
        <w:rPr>
          <w:rFonts w:ascii="Verdana" w:eastAsia="Times New Roman" w:hAnsi="Verdana" w:cs="Times New Roman"/>
          <w:color w:val="00000A"/>
          <w:sz w:val="24"/>
          <w:szCs w:val="24"/>
          <w:shd w:val="clear" w:color="auto" w:fill="FEFFFF"/>
          <w:lang w:eastAsia="el-GR" w:bidi="he-IL"/>
        </w:rPr>
      </w:pPr>
      <w:r w:rsidRPr="00BF1F95">
        <w:rPr>
          <w:rFonts w:ascii="Verdana" w:eastAsia="Times New Roman" w:hAnsi="Verdana" w:cs="Times New Roman"/>
          <w:color w:val="00000A"/>
          <w:sz w:val="24"/>
          <w:szCs w:val="24"/>
          <w:shd w:val="clear" w:color="auto" w:fill="FEFFFF"/>
          <w:lang w:eastAsia="el-GR" w:bidi="he-IL"/>
        </w:rPr>
        <w:t xml:space="preserve">Μείωση του συντελεστή σε χώρους βοηθητικής χρήσης κατοικιών (αποθήκες, γκαράζ, </w:t>
      </w:r>
      <w:proofErr w:type="spellStart"/>
      <w:r w:rsidRPr="00BF1F95">
        <w:rPr>
          <w:rFonts w:ascii="Verdana" w:eastAsia="Times New Roman" w:hAnsi="Verdana" w:cs="Times New Roman"/>
          <w:color w:val="00000A"/>
          <w:sz w:val="24"/>
          <w:szCs w:val="24"/>
          <w:shd w:val="clear" w:color="auto" w:fill="FEFFFF"/>
          <w:lang w:eastAsia="el-GR" w:bidi="he-IL"/>
        </w:rPr>
        <w:t>ημιυπαίθριοι</w:t>
      </w:r>
      <w:proofErr w:type="spellEnd"/>
      <w:r w:rsidRPr="00BF1F95">
        <w:rPr>
          <w:rFonts w:ascii="Verdana" w:eastAsia="Times New Roman" w:hAnsi="Verdana" w:cs="Times New Roman"/>
          <w:color w:val="00000A"/>
          <w:sz w:val="24"/>
          <w:szCs w:val="24"/>
          <w:shd w:val="clear" w:color="auto" w:fill="FEFFFF"/>
          <w:lang w:eastAsia="el-GR" w:bidi="he-IL"/>
        </w:rPr>
        <w:t>, κ.τ.λ.) στο 50% του Οικιακού.</w:t>
      </w:r>
    </w:p>
    <w:p w:rsidR="006D76D2" w:rsidRPr="00BF1F95" w:rsidRDefault="005A7121" w:rsidP="00BF1F95">
      <w:pPr>
        <w:spacing w:after="120" w:line="360" w:lineRule="auto"/>
        <w:ind w:right="34"/>
        <w:rPr>
          <w:rFonts w:ascii="Verdana" w:eastAsia="Times New Roman" w:hAnsi="Verdana" w:cs="Times New Roman"/>
          <w:b/>
          <w:color w:val="00000A"/>
          <w:sz w:val="24"/>
          <w:szCs w:val="24"/>
          <w:u w:val="single"/>
          <w:shd w:val="clear" w:color="auto" w:fill="FEFFFF"/>
          <w:lang w:eastAsia="el-GR" w:bidi="he-IL"/>
        </w:rPr>
      </w:pPr>
      <w:r>
        <w:rPr>
          <w:rFonts w:ascii="Verdana" w:eastAsia="Times New Roman" w:hAnsi="Verdana" w:cs="Times New Roman"/>
          <w:b/>
          <w:color w:val="00000A"/>
          <w:sz w:val="24"/>
          <w:szCs w:val="24"/>
          <w:u w:val="single"/>
          <w:shd w:val="clear" w:color="auto" w:fill="FEFFFF"/>
          <w:lang w:eastAsia="el-GR" w:bidi="he-IL"/>
        </w:rPr>
        <w:lastRenderedPageBreak/>
        <w:t>Για τον ε</w:t>
      </w:r>
      <w:r w:rsidR="006D76D2" w:rsidRPr="00BF1F95">
        <w:rPr>
          <w:rFonts w:ascii="Verdana" w:eastAsia="Times New Roman" w:hAnsi="Verdana" w:cs="Times New Roman"/>
          <w:b/>
          <w:color w:val="00000A"/>
          <w:sz w:val="24"/>
          <w:szCs w:val="24"/>
          <w:u w:val="single"/>
          <w:shd w:val="clear" w:color="auto" w:fill="FEFFFF"/>
          <w:lang w:eastAsia="el-GR" w:bidi="he-IL"/>
        </w:rPr>
        <w:t xml:space="preserve">παγγελματικός </w:t>
      </w:r>
      <w:r>
        <w:rPr>
          <w:rFonts w:ascii="Verdana" w:eastAsia="Times New Roman" w:hAnsi="Verdana" w:cs="Times New Roman"/>
          <w:b/>
          <w:color w:val="00000A"/>
          <w:sz w:val="24"/>
          <w:szCs w:val="24"/>
          <w:u w:val="single"/>
          <w:shd w:val="clear" w:color="auto" w:fill="FEFFFF"/>
          <w:lang w:eastAsia="el-GR" w:bidi="he-IL"/>
        </w:rPr>
        <w:t>συντελεστή</w:t>
      </w:r>
    </w:p>
    <w:p w:rsidR="006D76D2" w:rsidRPr="00BF1F95" w:rsidRDefault="006D76D2" w:rsidP="00D6374D">
      <w:pPr>
        <w:spacing w:after="120" w:line="360" w:lineRule="auto"/>
        <w:ind w:right="34"/>
        <w:jc w:val="both"/>
        <w:rPr>
          <w:rFonts w:ascii="Verdana" w:eastAsia="Times New Roman" w:hAnsi="Verdana" w:cs="Times New Roman"/>
          <w:color w:val="00000A"/>
          <w:sz w:val="24"/>
          <w:szCs w:val="24"/>
          <w:shd w:val="clear" w:color="auto" w:fill="FEFFFF"/>
          <w:lang w:eastAsia="el-GR" w:bidi="he-IL"/>
        </w:rPr>
      </w:pPr>
      <w:r w:rsidRPr="00BF1F95">
        <w:rPr>
          <w:rFonts w:ascii="Verdana" w:eastAsia="Times New Roman" w:hAnsi="Verdana" w:cs="Times New Roman"/>
          <w:color w:val="00000A"/>
          <w:sz w:val="24"/>
          <w:szCs w:val="24"/>
          <w:shd w:val="clear" w:color="auto" w:fill="FEFFFF"/>
          <w:lang w:eastAsia="el-GR" w:bidi="he-IL"/>
        </w:rPr>
        <w:t>Μειωμένο συντελεστή για βοηθητική χρήση (αποθήκες, υπόγεια, πατάρια</w:t>
      </w:r>
      <w:r w:rsidR="004E21D9">
        <w:rPr>
          <w:rFonts w:ascii="Verdana" w:eastAsia="Times New Roman" w:hAnsi="Verdana" w:cs="Times New Roman"/>
          <w:color w:val="00000A"/>
          <w:sz w:val="24"/>
          <w:szCs w:val="24"/>
          <w:shd w:val="clear" w:color="auto" w:fill="FEFFFF"/>
          <w:lang w:eastAsia="el-GR" w:bidi="he-IL"/>
        </w:rPr>
        <w:t xml:space="preserve"> </w:t>
      </w:r>
      <w:r w:rsidRPr="00BF1F95">
        <w:rPr>
          <w:rFonts w:ascii="Verdana" w:eastAsia="Times New Roman" w:hAnsi="Verdana" w:cs="Times New Roman"/>
          <w:color w:val="00000A"/>
          <w:sz w:val="24"/>
          <w:szCs w:val="24"/>
          <w:shd w:val="clear" w:color="auto" w:fill="FEFFFF"/>
          <w:lang w:eastAsia="el-GR" w:bidi="he-IL"/>
        </w:rPr>
        <w:t>κ.τ.λ.) στο επίπεδο του οικιακού για τους βοηθητικούς χώρους.</w:t>
      </w:r>
    </w:p>
    <w:p w:rsidR="006D76D2" w:rsidRPr="00BF1F95" w:rsidRDefault="006D76D2" w:rsidP="00D6374D">
      <w:pPr>
        <w:spacing w:after="120" w:line="360" w:lineRule="auto"/>
        <w:ind w:right="34"/>
        <w:jc w:val="both"/>
        <w:rPr>
          <w:rFonts w:ascii="Verdana" w:eastAsia="Times New Roman" w:hAnsi="Verdana" w:cs="Times New Roman"/>
          <w:color w:val="00000A"/>
          <w:sz w:val="24"/>
          <w:szCs w:val="24"/>
          <w:shd w:val="clear" w:color="auto" w:fill="FEFFFF"/>
          <w:lang w:eastAsia="el-GR" w:bidi="he-IL"/>
        </w:rPr>
      </w:pPr>
      <w:r w:rsidRPr="00BF1F95">
        <w:rPr>
          <w:rFonts w:ascii="Verdana" w:eastAsia="Times New Roman" w:hAnsi="Verdana" w:cs="Times New Roman"/>
          <w:color w:val="00000A"/>
          <w:sz w:val="24"/>
          <w:szCs w:val="24"/>
          <w:shd w:val="clear" w:color="auto" w:fill="FEFFFF"/>
          <w:lang w:eastAsia="el-GR" w:bidi="he-IL"/>
        </w:rPr>
        <w:t>Ξεχωριστό συντελεστή για κοινωφελείς και μη κερδοσκοπικούς συλλόγους και Ιδρύματα, στο ύψος του συντελε</w:t>
      </w:r>
      <w:r w:rsidR="005A7121">
        <w:rPr>
          <w:rFonts w:ascii="Verdana" w:eastAsia="Times New Roman" w:hAnsi="Verdana" w:cs="Times New Roman"/>
          <w:color w:val="00000A"/>
          <w:sz w:val="24"/>
          <w:szCs w:val="24"/>
          <w:shd w:val="clear" w:color="auto" w:fill="FEFFFF"/>
          <w:lang w:eastAsia="el-GR" w:bidi="he-IL"/>
        </w:rPr>
        <w:t>στή για τους βοηθητικούς χώρους</w:t>
      </w:r>
      <w:r w:rsidRPr="00BF1F95">
        <w:rPr>
          <w:rFonts w:ascii="Verdana" w:eastAsia="Times New Roman" w:hAnsi="Verdana" w:cs="Times New Roman"/>
          <w:color w:val="00000A"/>
          <w:sz w:val="24"/>
          <w:szCs w:val="24"/>
          <w:shd w:val="clear" w:color="auto" w:fill="FEFFFF"/>
          <w:lang w:eastAsia="el-GR" w:bidi="he-IL"/>
        </w:rPr>
        <w:t>.</w:t>
      </w:r>
    </w:p>
    <w:p w:rsidR="00BF1F95" w:rsidRDefault="006D76D2" w:rsidP="00BF1F95">
      <w:pPr>
        <w:pStyle w:val="a4"/>
        <w:shd w:val="clear" w:color="auto" w:fill="FEFFFF"/>
        <w:spacing w:after="120" w:line="360" w:lineRule="auto"/>
        <w:ind w:right="34"/>
        <w:jc w:val="both"/>
        <w:rPr>
          <w:rFonts w:ascii="Verdana" w:hAnsi="Verdana"/>
          <w:shd w:val="clear" w:color="auto" w:fill="FEFFFF"/>
          <w:lang w:bidi="he-IL"/>
        </w:rPr>
      </w:pPr>
      <w:r w:rsidRPr="00BF1F95">
        <w:rPr>
          <w:rFonts w:ascii="Verdana" w:hAnsi="Verdana"/>
          <w:b/>
          <w:bCs/>
          <w:w w:val="106"/>
          <w:shd w:val="clear" w:color="auto" w:fill="FEFFFF"/>
          <w:lang w:bidi="he-IL"/>
        </w:rPr>
        <w:t>Θέσπιση ξεχωριστού αυξημένου επαγγελματικού συντελεστή για  επιχειρήσεις μεγάλης κερδοφορίας</w:t>
      </w:r>
      <w:r w:rsidR="00BF1F95" w:rsidRPr="00BF1F95">
        <w:rPr>
          <w:rFonts w:ascii="Verdana" w:hAnsi="Verdana"/>
          <w:b/>
          <w:bCs/>
          <w:w w:val="106"/>
          <w:shd w:val="clear" w:color="auto" w:fill="FEFFFF"/>
          <w:lang w:bidi="he-IL"/>
        </w:rPr>
        <w:t xml:space="preserve"> στο διπλάσιο αυτού για τους μικρούς επιχειρηματίες.</w:t>
      </w:r>
      <w:r w:rsidR="00BF1F95" w:rsidRPr="00BF1F95">
        <w:rPr>
          <w:rFonts w:ascii="Verdana" w:hAnsi="Verdana"/>
          <w:shd w:val="clear" w:color="auto" w:fill="FEFFFF"/>
          <w:lang w:bidi="he-IL"/>
        </w:rPr>
        <w:t xml:space="preserve"> Οι επιχειρήσεις αυτές  είναι: Βιομηχανίες, Σούπερ Μάρκετ (αλυσίδες), Τράπεζες, πολυκαταστήματα, ΔΕΗ, ΟΤΕ,</w:t>
      </w:r>
      <w:r w:rsidR="005A7121">
        <w:rPr>
          <w:rFonts w:ascii="Verdana" w:hAnsi="Verdana"/>
          <w:shd w:val="clear" w:color="auto" w:fill="FEFFFF"/>
          <w:lang w:bidi="he-IL"/>
        </w:rPr>
        <w:t xml:space="preserve"> </w:t>
      </w:r>
      <w:r w:rsidR="00BF1F95" w:rsidRPr="00BF1F95">
        <w:rPr>
          <w:rFonts w:ascii="Verdana" w:hAnsi="Verdana"/>
          <w:shd w:val="clear" w:color="auto" w:fill="FEFFFF"/>
          <w:lang w:bidi="he-IL"/>
        </w:rPr>
        <w:t xml:space="preserve">ΕΛΤΑ, εταιρείες </w:t>
      </w:r>
      <w:r w:rsidR="00BF1F95" w:rsidRPr="00BF1F95">
        <w:rPr>
          <w:rFonts w:ascii="Verdana" w:hAnsi="Verdana"/>
          <w:shd w:val="clear" w:color="auto" w:fill="FEFFFF"/>
          <w:lang w:val="en-US" w:bidi="he-IL"/>
        </w:rPr>
        <w:t>Logistics</w:t>
      </w:r>
      <w:r w:rsidR="00BF1F95" w:rsidRPr="00BF1F95">
        <w:rPr>
          <w:rFonts w:ascii="Verdana" w:hAnsi="Verdana"/>
          <w:shd w:val="clear" w:color="auto" w:fill="FEFFFF"/>
          <w:lang w:bidi="he-IL"/>
        </w:rPr>
        <w:t>, ΚΑΖΙΝΟ, εταιρείες έτοιμου σκυροδέματος, Ξενοδοχεία 4 και 5 αστέρων κ.α.</w:t>
      </w:r>
    </w:p>
    <w:p w:rsidR="00010510" w:rsidRPr="00010510" w:rsidRDefault="00010510" w:rsidP="00010510">
      <w:pPr>
        <w:pStyle w:val="a4"/>
        <w:shd w:val="clear" w:color="auto" w:fill="FEFFFF"/>
        <w:spacing w:after="120" w:line="360" w:lineRule="auto"/>
        <w:ind w:right="34"/>
        <w:jc w:val="right"/>
        <w:rPr>
          <w:rFonts w:ascii="Verdana" w:hAnsi="Verdana"/>
          <w:sz w:val="22"/>
          <w:highlight w:val="cyan"/>
          <w:lang w:bidi="he-IL"/>
        </w:rPr>
      </w:pPr>
      <w:r w:rsidRPr="00010510">
        <w:rPr>
          <w:rFonts w:ascii="Verdana" w:hAnsi="Verdana"/>
          <w:sz w:val="22"/>
          <w:shd w:val="clear" w:color="auto" w:fill="FEFFFF"/>
          <w:lang w:bidi="he-IL"/>
        </w:rPr>
        <w:t>29/11/2022</w:t>
      </w:r>
    </w:p>
    <w:sectPr w:rsidR="00010510" w:rsidRPr="00010510" w:rsidSect="00651BC7">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A33D8"/>
    <w:multiLevelType w:val="hybridMultilevel"/>
    <w:tmpl w:val="4C501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58E6681"/>
    <w:multiLevelType w:val="multilevel"/>
    <w:tmpl w:val="637CEC18"/>
    <w:lvl w:ilvl="0">
      <w:start w:val="1"/>
      <w:numFmt w:val="bullet"/>
      <w:lvlText w:val=""/>
      <w:lvlJc w:val="left"/>
      <w:pPr>
        <w:tabs>
          <w:tab w:val="num" w:pos="436"/>
        </w:tabs>
        <w:ind w:left="436" w:hanging="360"/>
      </w:pPr>
      <w:rPr>
        <w:rFonts w:ascii="Wingdings" w:hAnsi="Wingdings" w:cs="Wingdings" w:hint="default"/>
      </w:rPr>
    </w:lvl>
    <w:lvl w:ilvl="1">
      <w:start w:val="1"/>
      <w:numFmt w:val="bullet"/>
      <w:lvlText w:val="◦"/>
      <w:lvlJc w:val="left"/>
      <w:pPr>
        <w:tabs>
          <w:tab w:val="num" w:pos="796"/>
        </w:tabs>
        <w:ind w:left="796" w:hanging="360"/>
      </w:pPr>
      <w:rPr>
        <w:rFonts w:ascii="OpenSymbol" w:hAnsi="OpenSymbol" w:cs="OpenSymbol" w:hint="default"/>
      </w:rPr>
    </w:lvl>
    <w:lvl w:ilvl="2">
      <w:start w:val="1"/>
      <w:numFmt w:val="bullet"/>
      <w:lvlText w:val="▪"/>
      <w:lvlJc w:val="left"/>
      <w:pPr>
        <w:tabs>
          <w:tab w:val="num" w:pos="1156"/>
        </w:tabs>
        <w:ind w:left="1156" w:hanging="360"/>
      </w:pPr>
      <w:rPr>
        <w:rFonts w:ascii="OpenSymbol" w:hAnsi="OpenSymbol" w:cs="OpenSymbol" w:hint="default"/>
      </w:rPr>
    </w:lvl>
    <w:lvl w:ilvl="3">
      <w:start w:val="1"/>
      <w:numFmt w:val="bullet"/>
      <w:lvlText w:val=""/>
      <w:lvlJc w:val="left"/>
      <w:pPr>
        <w:tabs>
          <w:tab w:val="num" w:pos="1516"/>
        </w:tabs>
        <w:ind w:left="1516" w:hanging="360"/>
      </w:pPr>
      <w:rPr>
        <w:rFonts w:ascii="Symbol" w:hAnsi="Symbol" w:cs="OpenSymbol" w:hint="default"/>
      </w:rPr>
    </w:lvl>
    <w:lvl w:ilvl="4">
      <w:start w:val="1"/>
      <w:numFmt w:val="bullet"/>
      <w:lvlText w:val="◦"/>
      <w:lvlJc w:val="left"/>
      <w:pPr>
        <w:tabs>
          <w:tab w:val="num" w:pos="1876"/>
        </w:tabs>
        <w:ind w:left="1876" w:hanging="360"/>
      </w:pPr>
      <w:rPr>
        <w:rFonts w:ascii="OpenSymbol" w:hAnsi="OpenSymbol" w:cs="OpenSymbol" w:hint="default"/>
      </w:rPr>
    </w:lvl>
    <w:lvl w:ilvl="5">
      <w:start w:val="1"/>
      <w:numFmt w:val="bullet"/>
      <w:lvlText w:val="▪"/>
      <w:lvlJc w:val="left"/>
      <w:pPr>
        <w:tabs>
          <w:tab w:val="num" w:pos="2236"/>
        </w:tabs>
        <w:ind w:left="2236" w:hanging="360"/>
      </w:pPr>
      <w:rPr>
        <w:rFonts w:ascii="OpenSymbol" w:hAnsi="OpenSymbol" w:cs="OpenSymbol" w:hint="default"/>
      </w:rPr>
    </w:lvl>
    <w:lvl w:ilvl="6">
      <w:start w:val="1"/>
      <w:numFmt w:val="bullet"/>
      <w:lvlText w:val=""/>
      <w:lvlJc w:val="left"/>
      <w:pPr>
        <w:tabs>
          <w:tab w:val="num" w:pos="2596"/>
        </w:tabs>
        <w:ind w:left="2596" w:hanging="360"/>
      </w:pPr>
      <w:rPr>
        <w:rFonts w:ascii="Symbol" w:hAnsi="Symbol" w:cs="OpenSymbol" w:hint="default"/>
      </w:rPr>
    </w:lvl>
    <w:lvl w:ilvl="7">
      <w:start w:val="1"/>
      <w:numFmt w:val="bullet"/>
      <w:lvlText w:val="◦"/>
      <w:lvlJc w:val="left"/>
      <w:pPr>
        <w:tabs>
          <w:tab w:val="num" w:pos="2956"/>
        </w:tabs>
        <w:ind w:left="2956" w:hanging="360"/>
      </w:pPr>
      <w:rPr>
        <w:rFonts w:ascii="OpenSymbol" w:hAnsi="OpenSymbol" w:cs="OpenSymbol" w:hint="default"/>
      </w:rPr>
    </w:lvl>
    <w:lvl w:ilvl="8">
      <w:start w:val="1"/>
      <w:numFmt w:val="bullet"/>
      <w:lvlText w:val="▪"/>
      <w:lvlJc w:val="left"/>
      <w:pPr>
        <w:tabs>
          <w:tab w:val="num" w:pos="3316"/>
        </w:tabs>
        <w:ind w:left="3316"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FA"/>
    <w:rsid w:val="00010510"/>
    <w:rsid w:val="00060837"/>
    <w:rsid w:val="000D49A7"/>
    <w:rsid w:val="001878D0"/>
    <w:rsid w:val="001E1FE8"/>
    <w:rsid w:val="002475DD"/>
    <w:rsid w:val="002D7D65"/>
    <w:rsid w:val="00302E6C"/>
    <w:rsid w:val="004B4713"/>
    <w:rsid w:val="004E21D9"/>
    <w:rsid w:val="005A7121"/>
    <w:rsid w:val="006210D5"/>
    <w:rsid w:val="00651BC7"/>
    <w:rsid w:val="006D76D2"/>
    <w:rsid w:val="006E3E87"/>
    <w:rsid w:val="00843BE5"/>
    <w:rsid w:val="0087344B"/>
    <w:rsid w:val="008F3C44"/>
    <w:rsid w:val="008F76FA"/>
    <w:rsid w:val="009560A8"/>
    <w:rsid w:val="00A655DC"/>
    <w:rsid w:val="00AB0A6B"/>
    <w:rsid w:val="00B7332A"/>
    <w:rsid w:val="00BF1F95"/>
    <w:rsid w:val="00C75C2C"/>
    <w:rsid w:val="00D00F85"/>
    <w:rsid w:val="00D06F91"/>
    <w:rsid w:val="00D6374D"/>
    <w:rsid w:val="00D663B6"/>
    <w:rsid w:val="00E71BD9"/>
    <w:rsid w:val="00EB54A8"/>
    <w:rsid w:val="00F35334"/>
    <w:rsid w:val="00F56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6C714-9ED6-4103-AA35-B29DA8B0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6FA"/>
    <w:pPr>
      <w:spacing w:after="0" w:line="240" w:lineRule="auto"/>
    </w:pPr>
    <w:rPr>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Στυλ"/>
    <w:qFormat/>
    <w:rsid w:val="00BF1F95"/>
    <w:pPr>
      <w:widowControl w:val="0"/>
      <w:spacing w:after="0" w:line="240" w:lineRule="auto"/>
    </w:pPr>
    <w:rPr>
      <w:rFonts w:ascii="Times New Roman" w:eastAsia="Times New Roman" w:hAnsi="Times New Roman" w:cs="Times New Roman"/>
      <w:color w:val="00000A"/>
      <w:sz w:val="24"/>
      <w:szCs w:val="24"/>
      <w:lang w:eastAsia="el-GR"/>
    </w:rPr>
  </w:style>
  <w:style w:type="paragraph" w:styleId="a5">
    <w:name w:val="Balloon Text"/>
    <w:basedOn w:val="a"/>
    <w:link w:val="Char"/>
    <w:uiPriority w:val="99"/>
    <w:semiHidden/>
    <w:unhideWhenUsed/>
    <w:rsid w:val="0001051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10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4353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ΕΥΘΥΜΙΑ ΣΥΜΕΩΝΙΔΟΥ</cp:lastModifiedBy>
  <cp:revision>2</cp:revision>
  <dcterms:created xsi:type="dcterms:W3CDTF">2022-12-05T08:03:00Z</dcterms:created>
  <dcterms:modified xsi:type="dcterms:W3CDTF">2022-12-05T08:03:00Z</dcterms:modified>
</cp:coreProperties>
</file>